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line="564" w:lineRule="exact"/>
        <w:jc w:val="center"/>
        <w:rPr>
          <w:rFonts w:ascii="方正小标宋简体" w:hAnsi="方正小标宋简体" w:eastAsia="方正小标宋简体" w:cs="方正小标宋简体"/>
          <w:bCs/>
          <w:color w:val="auto"/>
          <w:sz w:val="44"/>
          <w:szCs w:val="44"/>
          <w:highlight w:val="none"/>
        </w:rPr>
      </w:pPr>
    </w:p>
    <w:p>
      <w:pPr>
        <w:spacing w:line="564" w:lineRule="exact"/>
        <w:jc w:val="center"/>
        <w:rPr>
          <w:rFonts w:hint="eastAsia" w:ascii="方正小标宋简体" w:hAnsi="方正小标宋简体" w:eastAsia="方正小标宋简体" w:cs="方正小标宋简体"/>
          <w:bCs/>
          <w:color w:val="auto"/>
          <w:sz w:val="44"/>
          <w:szCs w:val="44"/>
          <w:highlight w:val="none"/>
        </w:rPr>
      </w:pPr>
    </w:p>
    <w:p>
      <w:pPr>
        <w:keepNext w:val="0"/>
        <w:keepLines w:val="0"/>
        <w:pageBreakBefore w:val="0"/>
        <w:widowControl w:val="0"/>
        <w:kinsoku w:val="0"/>
        <w:wordWrap/>
        <w:overflowPunct w:val="0"/>
        <w:topLinePunct w:val="0"/>
        <w:autoSpaceDE w:val="0"/>
        <w:autoSpaceDN w:val="0"/>
        <w:bidi w:val="0"/>
        <w:adjustRightInd/>
        <w:snapToGrid/>
        <w:spacing w:after="0" w:line="578" w:lineRule="exact"/>
        <w:ind w:left="0" w:leftChars="0" w:firstLine="0" w:firstLineChars="0"/>
        <w:jc w:val="center"/>
        <w:textAlignment w:val="auto"/>
        <w:rPr>
          <w:rFonts w:hint="eastAsia" w:ascii="仿宋_GB2312" w:hAnsi="仿宋_GB2312" w:eastAsia="仿宋_GB2312" w:cs="仿宋_GB2312"/>
          <w:kern w:val="2"/>
          <w:sz w:val="32"/>
          <w:szCs w:val="32"/>
          <w:lang w:eastAsia="zh-CN" w:bidi="ar-SA"/>
        </w:rPr>
      </w:pPr>
    </w:p>
    <w:p>
      <w:pPr>
        <w:spacing w:line="564" w:lineRule="exact"/>
        <w:jc w:val="center"/>
        <w:rPr>
          <w:rFonts w:hint="eastAsia" w:ascii="方正小标宋简体" w:hAnsi="方正小标宋简体"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Cs/>
          <w:color w:val="auto"/>
          <w:sz w:val="44"/>
          <w:szCs w:val="44"/>
          <w:highlight w:val="none"/>
        </w:rPr>
      </w:pPr>
    </w:p>
    <w:p>
      <w:pPr>
        <w:spacing w:line="564" w:lineRule="exact"/>
        <w:jc w:val="center"/>
        <w:rPr>
          <w:rFonts w:hint="eastAsia" w:ascii="方正小标宋简体" w:hAnsi="方正小标宋简体" w:eastAsia="方正小标宋简体" w:cs="方正小标宋简体"/>
          <w:bCs/>
          <w:color w:val="auto"/>
          <w:sz w:val="44"/>
          <w:szCs w:val="44"/>
          <w:highlight w:val="none"/>
        </w:rPr>
      </w:pPr>
    </w:p>
    <w:p>
      <w:pPr>
        <w:spacing w:line="564" w:lineRule="exact"/>
        <w:jc w:val="center"/>
        <w:rPr>
          <w:rFonts w:hint="eastAsia" w:ascii="方正小标宋简体" w:hAnsi="方正小标宋简体" w:eastAsia="方正小标宋简体" w:cs="方正小标宋简体"/>
          <w:bCs/>
          <w:color w:val="auto"/>
          <w:sz w:val="44"/>
          <w:szCs w:val="44"/>
          <w:highlight w:val="none"/>
        </w:rPr>
      </w:pPr>
    </w:p>
    <w:p>
      <w:pPr>
        <w:spacing w:line="564" w:lineRule="exact"/>
        <w:jc w:val="center"/>
        <w:rPr>
          <w:rFonts w:hint="eastAsia" w:ascii="方正小标宋简体" w:hAnsi="方正小标宋简体" w:eastAsia="方正小标宋简体" w:cs="方正小标宋简体"/>
          <w:bCs/>
          <w:color w:val="auto"/>
          <w:sz w:val="44"/>
          <w:szCs w:val="44"/>
          <w:highlight w:val="none"/>
        </w:rPr>
      </w:pPr>
    </w:p>
    <w:p>
      <w:pPr>
        <w:keepNext w:val="0"/>
        <w:keepLines w:val="0"/>
        <w:pageBreakBefore w:val="0"/>
        <w:widowControl w:val="0"/>
        <w:kinsoku w:val="0"/>
        <w:wordWrap/>
        <w:overflowPunct w:val="0"/>
        <w:topLinePunct w:val="0"/>
        <w:autoSpaceDE w:val="0"/>
        <w:autoSpaceDN w:val="0"/>
        <w:bidi w:val="0"/>
        <w:adjustRightInd/>
        <w:snapToGrid/>
        <w:spacing w:after="0" w:line="560" w:lineRule="exact"/>
        <w:ind w:left="0" w:leftChars="0"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恰政办发〔202</w:t>
      </w: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eastAsia="zh-CN" w:bidi="ar-SA"/>
        </w:rPr>
        <w:t>〕</w:t>
      </w:r>
      <w:r>
        <w:rPr>
          <w:rFonts w:hint="eastAsia" w:ascii="Times New Roman" w:hAnsi="Times New Roman" w:eastAsia="仿宋_GB2312" w:cs="Times New Roman"/>
          <w:kern w:val="2"/>
          <w:sz w:val="32"/>
          <w:szCs w:val="32"/>
          <w:lang w:val="en-US" w:eastAsia="zh-CN" w:bidi="ar-SA"/>
        </w:rPr>
        <w:t>16</w:t>
      </w:r>
      <w:r>
        <w:rPr>
          <w:rFonts w:hint="default" w:ascii="Times New Roman" w:hAnsi="Times New Roman" w:eastAsia="仿宋_GB2312" w:cs="Times New Roman"/>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关于公布</w:t>
      </w:r>
      <w:r>
        <w:rPr>
          <w:rFonts w:hint="eastAsia" w:ascii="方正小标宋简体" w:hAnsi="方正小标宋简体" w:eastAsia="方正小标宋简体" w:cs="方正小标宋简体"/>
          <w:bCs/>
          <w:color w:val="auto"/>
          <w:sz w:val="44"/>
          <w:szCs w:val="44"/>
          <w:highlight w:val="none"/>
          <w:lang w:val="en-US" w:eastAsia="zh-CN"/>
        </w:rPr>
        <w:t>乌恰县</w:t>
      </w:r>
      <w:r>
        <w:rPr>
          <w:rFonts w:hint="eastAsia" w:ascii="方正小标宋简体" w:hAnsi="方正小标宋简体" w:eastAsia="方正小标宋简体" w:cs="方正小标宋简体"/>
          <w:color w:val="auto"/>
          <w:sz w:val="44"/>
          <w:szCs w:val="44"/>
          <w:highlight w:val="none"/>
        </w:rPr>
        <w:t>城区基准地价、集体建设用地</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和农用地基准地价</w:t>
      </w:r>
      <w:r>
        <w:rPr>
          <w:rFonts w:hint="eastAsia" w:ascii="Times New Roman" w:hAnsi="Times New Roman" w:eastAsia="方正小标宋简体"/>
          <w:color w:val="auto"/>
          <w:sz w:val="44"/>
          <w:szCs w:val="44"/>
          <w:highlight w:val="none"/>
        </w:rPr>
        <w:t>的</w:t>
      </w:r>
      <w:r>
        <w:rPr>
          <w:rFonts w:hint="eastAsia" w:ascii="方正小标宋简体" w:hAnsi="方正小标宋简体" w:eastAsia="方正小标宋简体" w:cs="方正小标宋简体"/>
          <w:bCs/>
          <w:color w:val="auto"/>
          <w:sz w:val="44"/>
          <w:szCs w:val="44"/>
          <w:highlight w:val="none"/>
        </w:rPr>
        <w:t>通知</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textAlignment w:val="auto"/>
        <w:rPr>
          <w:rFonts w:hint="eastAsia" w:eastAsia="仿宋_GB2312"/>
          <w:bCs/>
          <w:color w:val="auto"/>
          <w:sz w:val="32"/>
          <w:szCs w:val="32"/>
          <w:highlight w:val="none"/>
        </w:rPr>
      </w:pP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textAlignment w:val="auto"/>
        <w:rPr>
          <w:rFonts w:eastAsia="仿宋_GB2312"/>
          <w:bCs/>
          <w:color w:val="auto"/>
          <w:sz w:val="32"/>
          <w:szCs w:val="32"/>
          <w:highlight w:val="none"/>
        </w:rPr>
      </w:pPr>
      <w:r>
        <w:rPr>
          <w:rFonts w:hint="eastAsia" w:eastAsia="仿宋_GB2312"/>
          <w:bCs/>
          <w:color w:val="auto"/>
          <w:sz w:val="32"/>
          <w:szCs w:val="32"/>
          <w:highlight w:val="none"/>
        </w:rPr>
        <w:t>各乡（镇）</w:t>
      </w:r>
      <w:r>
        <w:rPr>
          <w:rFonts w:hint="eastAsia" w:eastAsia="仿宋_GB2312"/>
          <w:bCs/>
          <w:color w:val="auto"/>
          <w:sz w:val="32"/>
          <w:szCs w:val="32"/>
          <w:highlight w:val="none"/>
          <w:lang w:val="en-US" w:eastAsia="zh-CN"/>
        </w:rPr>
        <w:t>人民政府</w:t>
      </w:r>
      <w:r>
        <w:rPr>
          <w:rFonts w:hint="eastAsia" w:eastAsia="仿宋_GB2312"/>
          <w:bCs/>
          <w:color w:val="auto"/>
          <w:sz w:val="32"/>
          <w:szCs w:val="32"/>
          <w:highlight w:val="none"/>
        </w:rPr>
        <w:t>、县</w:t>
      </w:r>
      <w:r>
        <w:rPr>
          <w:rFonts w:hint="eastAsia" w:eastAsia="仿宋_GB2312"/>
          <w:bCs/>
          <w:color w:val="auto"/>
          <w:sz w:val="32"/>
          <w:szCs w:val="32"/>
          <w:highlight w:val="none"/>
          <w:lang w:val="en-US" w:eastAsia="zh-CN"/>
        </w:rPr>
        <w:t>人民政府各工作部门、县</w:t>
      </w:r>
      <w:r>
        <w:rPr>
          <w:rFonts w:hint="eastAsia" w:eastAsia="仿宋_GB2312"/>
          <w:bCs/>
          <w:color w:val="auto"/>
          <w:sz w:val="32"/>
          <w:szCs w:val="32"/>
          <w:highlight w:val="none"/>
        </w:rPr>
        <w:t>直各单位：</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经县人民政府同意，现将乌恰县城区基准地价、集体建设用地和农用地基准地价予以公布，请认真遵照实施。</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eastAsia" w:ascii="Times New Roman" w:hAnsi="Times New Roman" w:eastAsia="仿宋_GB2312" w:cs="Times New Roman"/>
          <w:bCs/>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Cs/>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rPr>
        <w:t>1.乌恰县城区基准地价成果</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1600" w:firstLineChars="5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2.乌恰县集体建设用地基准地价成果</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1600" w:firstLineChars="5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3.乌恰县农用地基准地价成果</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4800" w:firstLineChars="1500"/>
        <w:textAlignment w:val="auto"/>
        <w:rPr>
          <w:rFonts w:hint="default" w:ascii="Times New Roman" w:hAnsi="Times New Roman" w:eastAsia="仿宋_GB2312" w:cs="Times New Roman"/>
          <w:color w:val="auto"/>
          <w:sz w:val="32"/>
          <w:szCs w:val="32"/>
          <w:highlight w:val="none"/>
        </w:rPr>
      </w:pP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4800" w:firstLineChars="15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2024年10月</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w:t>
      </w:r>
    </w:p>
    <w:p>
      <w:pPr>
        <w:pStyle w:val="3"/>
        <w:keepNext w:val="0"/>
        <w:keepLines w:val="0"/>
        <w:pageBreakBefore w:val="0"/>
        <w:widowControl w:val="0"/>
        <w:tabs>
          <w:tab w:val="left" w:pos="1480"/>
        </w:tabs>
        <w:kinsoku/>
        <w:wordWrap/>
        <w:overflowPunct/>
        <w:topLinePunct w:val="0"/>
        <w:autoSpaceDE/>
        <w:autoSpaceDN/>
        <w:bidi w:val="0"/>
        <w:adjustRightInd/>
        <w:snapToGrid/>
        <w:spacing w:before="0" w:beforeAutospacing="0" w:after="0" w:line="520" w:lineRule="exact"/>
        <w:textAlignment w:val="auto"/>
        <w:rPr>
          <w:rFonts w:hint="eastAsia" w:ascii="黑体" w:hAnsi="黑体" w:eastAsia="黑体" w:cs="黑体"/>
          <w:color w:val="auto"/>
          <w:sz w:val="32"/>
          <w:szCs w:val="32"/>
          <w:highlight w:val="none"/>
        </w:rPr>
      </w:pPr>
    </w:p>
    <w:p>
      <w:pPr>
        <w:pStyle w:val="3"/>
        <w:keepNext w:val="0"/>
        <w:keepLines w:val="0"/>
        <w:pageBreakBefore w:val="0"/>
        <w:widowControl w:val="0"/>
        <w:tabs>
          <w:tab w:val="left" w:pos="1480"/>
        </w:tabs>
        <w:kinsoku/>
        <w:wordWrap/>
        <w:overflowPunct/>
        <w:topLinePunct w:val="0"/>
        <w:autoSpaceDE/>
        <w:autoSpaceDN/>
        <w:bidi w:val="0"/>
        <w:adjustRightInd/>
        <w:snapToGrid/>
        <w:spacing w:before="0" w:beforeAutospacing="0" w:after="0" w:line="52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pStyle w:val="3"/>
        <w:keepNext w:val="0"/>
        <w:keepLines w:val="0"/>
        <w:pageBreakBefore w:val="0"/>
        <w:widowControl w:val="0"/>
        <w:kinsoku/>
        <w:wordWrap/>
        <w:overflowPunct/>
        <w:topLinePunct w:val="0"/>
        <w:autoSpaceDE/>
        <w:autoSpaceDN/>
        <w:bidi w:val="0"/>
        <w:adjustRightInd/>
        <w:snapToGrid/>
        <w:spacing w:before="0" w:beforeAutospacing="0" w:after="0" w:line="440" w:lineRule="exact"/>
        <w:jc w:val="center"/>
        <w:textAlignment w:val="auto"/>
        <w:rPr>
          <w:rFonts w:hint="eastAsia" w:ascii="方正小标宋简体" w:hAnsi="方正小标宋简体" w:eastAsia="方正小标宋简体" w:cs="方正小标宋简体"/>
          <w:color w:val="auto"/>
          <w:sz w:val="44"/>
          <w:szCs w:val="44"/>
          <w:highlight w:val="none"/>
        </w:rPr>
      </w:pPr>
    </w:p>
    <w:p>
      <w:pPr>
        <w:pStyle w:val="3"/>
        <w:keepNext w:val="0"/>
        <w:keepLines w:val="0"/>
        <w:pageBreakBefore w:val="0"/>
        <w:widowControl w:val="0"/>
        <w:kinsoku/>
        <w:wordWrap/>
        <w:overflowPunct/>
        <w:topLinePunct w:val="0"/>
        <w:autoSpaceDE/>
        <w:autoSpaceDN/>
        <w:bidi w:val="0"/>
        <w:adjustRightInd/>
        <w:snapToGrid/>
        <w:spacing w:before="0" w:beforeAutospacing="0" w:after="0" w:line="44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乌恰县城区土地定级与基准地价更新成果</w:t>
      </w:r>
    </w:p>
    <w:p>
      <w:pPr>
        <w:pStyle w:val="3"/>
        <w:keepNext w:val="0"/>
        <w:keepLines w:val="0"/>
        <w:pageBreakBefore w:val="0"/>
        <w:widowControl w:val="0"/>
        <w:kinsoku/>
        <w:wordWrap/>
        <w:overflowPunct/>
        <w:topLinePunct w:val="0"/>
        <w:autoSpaceDE/>
        <w:autoSpaceDN/>
        <w:bidi w:val="0"/>
        <w:adjustRightInd/>
        <w:snapToGrid/>
        <w:spacing w:before="0" w:beforeAutospacing="0" w:after="0" w:line="440" w:lineRule="exact"/>
        <w:textAlignment w:val="auto"/>
        <w:rPr>
          <w:rFonts w:ascii="仿宋_GB2312" w:hAnsi="仿宋_GB2312" w:eastAsia="仿宋_GB2312" w:cs="仿宋_GB2312"/>
          <w:color w:val="auto"/>
          <w:sz w:val="32"/>
          <w:szCs w:val="32"/>
          <w:highlight w:val="none"/>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440" w:lineRule="exact"/>
        <w:ind w:left="630" w:leftChars="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城区基准地价内涵</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1.估价日期：2023年</w:t>
      </w:r>
      <w:r>
        <w:rPr>
          <w:rFonts w:hint="default" w:ascii="Times New Roman" w:hAnsi="Times New Roman" w:eastAsia="仿宋_GB2312" w:cs="Times New Roman"/>
          <w:bCs/>
          <w:color w:val="auto"/>
          <w:sz w:val="32"/>
          <w:szCs w:val="32"/>
          <w:highlight w:val="none"/>
        </w:rPr>
        <w:t>12</w:t>
      </w:r>
      <w:r>
        <w:rPr>
          <w:rFonts w:hint="eastAsia" w:ascii="Times New Roman" w:hAnsi="Times New Roman" w:eastAsia="仿宋_GB2312" w:cs="Times New Roman"/>
          <w:bCs/>
          <w:color w:val="auto"/>
          <w:sz w:val="32"/>
          <w:szCs w:val="32"/>
          <w:highlight w:val="none"/>
        </w:rPr>
        <w:t>月3</w:t>
      </w:r>
      <w:r>
        <w:rPr>
          <w:rFonts w:hint="default" w:ascii="Times New Roman" w:hAnsi="Times New Roman" w:eastAsia="仿宋_GB2312" w:cs="Times New Roman"/>
          <w:bCs/>
          <w:color w:val="auto"/>
          <w:sz w:val="32"/>
          <w:szCs w:val="32"/>
          <w:highlight w:val="none"/>
        </w:rPr>
        <w:t>1</w:t>
      </w:r>
      <w:r>
        <w:rPr>
          <w:rFonts w:hint="eastAsia" w:ascii="Times New Roman" w:hAnsi="Times New Roman" w:eastAsia="仿宋_GB2312" w:cs="Times New Roman"/>
          <w:bCs/>
          <w:color w:val="auto"/>
          <w:sz w:val="32"/>
          <w:szCs w:val="32"/>
          <w:highlight w:val="none"/>
        </w:rPr>
        <w:t>日</w:t>
      </w:r>
      <w:bookmarkStart w:id="1" w:name="_GoBack"/>
      <w:bookmarkEnd w:id="1"/>
      <w:r>
        <w:rPr>
          <w:rFonts w:hint="eastAsia" w:ascii="Times New Roman" w:hAnsi="Times New Roman" w:eastAsia="仿宋_GB2312" w:cs="Times New Roman"/>
          <w:bCs/>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2.土地使用年期：商服用地使用年限40年、住宅用地使用年限70年、工业用地使用年限50年、公共管理与公共服务用地使用年限50年；</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3.开发程度：“七通一平”（宗地外通路、通上水、通下水、通电、通讯、通暖、通气和宗地内场地平整）</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4.容积率：商服用地、住宅用地、工业用地和公共管理与公共服务用地均为1.0；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olor w:val="auto"/>
          <w:sz w:val="32"/>
          <w:szCs w:val="32"/>
          <w:highlight w:val="none"/>
        </w:rPr>
      </w:pPr>
      <w:r>
        <w:rPr>
          <w:rFonts w:hint="eastAsia" w:ascii="Times New Roman" w:hAnsi="Times New Roman" w:eastAsia="仿宋_GB2312" w:cs="Times New Roman"/>
          <w:bCs/>
          <w:color w:val="auto"/>
          <w:sz w:val="32"/>
          <w:szCs w:val="32"/>
          <w:highlight w:val="none"/>
          <w:lang w:val="en-US" w:eastAsia="zh-CN"/>
        </w:rPr>
        <w:t>5.</w:t>
      </w:r>
      <w:r>
        <w:rPr>
          <w:rFonts w:hint="eastAsia" w:ascii="Times New Roman" w:hAnsi="Times New Roman" w:eastAsia="仿宋_GB2312" w:cs="Times New Roman"/>
          <w:bCs/>
          <w:color w:val="auto"/>
          <w:sz w:val="32"/>
          <w:szCs w:val="32"/>
          <w:highlight w:val="none"/>
        </w:rPr>
        <w:t>土</w:t>
      </w:r>
      <w:r>
        <w:rPr>
          <w:rFonts w:hint="eastAsia" w:ascii="仿宋_GB2312" w:hAnsi="Times New Roman" w:eastAsia="仿宋_GB2312"/>
          <w:color w:val="auto"/>
          <w:sz w:val="32"/>
          <w:szCs w:val="32"/>
          <w:highlight w:val="none"/>
        </w:rPr>
        <w:t>地权利状况：土地使用权为出让性质，商服、住宅、工业用地无他项权利限制下（公共管理与公共服务用地符合相关法律法规约定）的土地使用权价格。</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乌恰县城区土地级别面积与基准地价表</w:t>
      </w:r>
    </w:p>
    <w:tbl>
      <w:tblPr>
        <w:tblStyle w:val="7"/>
        <w:tblpPr w:leftFromText="180" w:rightFromText="180" w:vertAnchor="text" w:horzAnchor="page" w:tblpX="1664" w:tblpY="279"/>
        <w:tblOverlap w:val="never"/>
        <w:tblW w:w="8566" w:type="dxa"/>
        <w:tblInd w:w="0" w:type="dxa"/>
        <w:tblLayout w:type="fixed"/>
        <w:tblCellMar>
          <w:top w:w="0" w:type="dxa"/>
          <w:left w:w="108" w:type="dxa"/>
          <w:bottom w:w="0" w:type="dxa"/>
          <w:right w:w="108" w:type="dxa"/>
        </w:tblCellMar>
      </w:tblPr>
      <w:tblGrid>
        <w:gridCol w:w="4744"/>
        <w:gridCol w:w="1357"/>
        <w:gridCol w:w="1205"/>
        <w:gridCol w:w="1260"/>
      </w:tblGrid>
      <w:tr>
        <w:tblPrEx>
          <w:tblCellMar>
            <w:top w:w="0" w:type="dxa"/>
            <w:left w:w="108" w:type="dxa"/>
            <w:bottom w:w="0" w:type="dxa"/>
            <w:right w:w="108" w:type="dxa"/>
          </w:tblCellMar>
        </w:tblPrEx>
        <w:trPr>
          <w:trHeight w:val="90" w:hRule="atLeast"/>
        </w:trPr>
        <w:tc>
          <w:tcPr>
            <w:tcW w:w="4744" w:type="dxa"/>
            <w:tcBorders>
              <w:top w:val="single" w:color="auto" w:sz="4" w:space="0"/>
              <w:left w:val="single" w:color="auto" w:sz="4" w:space="0"/>
              <w:right w:val="single" w:color="auto" w:sz="4" w:space="0"/>
              <w:tl2br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520" w:lineRule="exact"/>
              <w:ind w:right="27" w:firstLine="3" w:firstLineChars="1"/>
              <w:jc w:val="righ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土地级别</w:t>
            </w:r>
          </w:p>
          <w:p>
            <w:pPr>
              <w:keepNext w:val="0"/>
              <w:keepLines w:val="0"/>
              <w:pageBreakBefore w:val="0"/>
              <w:kinsoku/>
              <w:wordWrap/>
              <w:overflowPunct/>
              <w:topLinePunct w:val="0"/>
              <w:autoSpaceDE/>
              <w:autoSpaceDN/>
              <w:bidi w:val="0"/>
              <w:adjustRightInd/>
              <w:snapToGrid/>
              <w:spacing w:line="520" w:lineRule="exact"/>
              <w:ind w:left="88" w:leftChars="-42" w:hanging="176" w:hangingChars="55"/>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用地类型</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Ⅰ级</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Ⅱ级</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Ⅲ级</w:t>
            </w:r>
          </w:p>
        </w:tc>
      </w:tr>
      <w:tr>
        <w:tblPrEx>
          <w:tblCellMar>
            <w:top w:w="0" w:type="dxa"/>
            <w:left w:w="108" w:type="dxa"/>
            <w:bottom w:w="0" w:type="dxa"/>
            <w:right w:w="108" w:type="dxa"/>
          </w:tblCellMar>
        </w:tblPrEx>
        <w:trPr>
          <w:trHeight w:val="527" w:hRule="atLeast"/>
        </w:trPr>
        <w:tc>
          <w:tcPr>
            <w:tcW w:w="4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color w:val="auto"/>
                <w:sz w:val="32"/>
                <w:szCs w:val="32"/>
                <w:highlight w:val="none"/>
              </w:rPr>
            </w:pPr>
            <w:bookmarkStart w:id="0" w:name="_Hlk149560206"/>
            <w:r>
              <w:rPr>
                <w:rFonts w:hint="eastAsia" w:ascii="仿宋_GB2312" w:hAnsi="仿宋_GB2312" w:eastAsia="仿宋_GB2312" w:cs="仿宋_GB2312"/>
                <w:color w:val="auto"/>
                <w:sz w:val="32"/>
                <w:szCs w:val="32"/>
                <w:highlight w:val="none"/>
              </w:rPr>
              <w:t>商服用地（元/㎡）</w:t>
            </w:r>
          </w:p>
        </w:tc>
        <w:tc>
          <w:tcPr>
            <w:tcW w:w="1357" w:type="dxa"/>
            <w:tcBorders>
              <w:top w:val="single" w:color="auto" w:sz="4" w:space="0"/>
              <w:bottom w:val="single" w:color="auto" w:sz="4" w:space="0"/>
              <w:right w:val="single" w:color="auto" w:sz="4" w:space="0"/>
            </w:tcBorders>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ind w:firstLine="320" w:firstLineChars="100"/>
              <w:jc w:val="left"/>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400</w:t>
            </w:r>
          </w:p>
        </w:tc>
        <w:tc>
          <w:tcPr>
            <w:tcW w:w="120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jc w:val="center"/>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310</w:t>
            </w:r>
          </w:p>
        </w:tc>
        <w:tc>
          <w:tcPr>
            <w:tcW w:w="126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jc w:val="center"/>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240</w:t>
            </w:r>
          </w:p>
        </w:tc>
      </w:tr>
      <w:tr>
        <w:tblPrEx>
          <w:tblCellMar>
            <w:top w:w="0" w:type="dxa"/>
            <w:left w:w="108" w:type="dxa"/>
            <w:bottom w:w="0" w:type="dxa"/>
            <w:right w:w="108" w:type="dxa"/>
          </w:tblCellMar>
        </w:tblPrEx>
        <w:trPr>
          <w:trHeight w:val="20" w:hRule="atLeast"/>
        </w:trPr>
        <w:tc>
          <w:tcPr>
            <w:tcW w:w="4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住宅用地</w:t>
            </w:r>
            <w:r>
              <w:rPr>
                <w:rFonts w:hint="eastAsia" w:ascii="仿宋_GB2312" w:hAnsi="仿宋_GB2312" w:eastAsia="仿宋_GB2312" w:cs="仿宋_GB2312"/>
                <w:color w:val="auto"/>
                <w:sz w:val="32"/>
                <w:szCs w:val="32"/>
                <w:highlight w:val="none"/>
              </w:rPr>
              <w:t>（元/㎡）</w:t>
            </w:r>
          </w:p>
        </w:tc>
        <w:tc>
          <w:tcPr>
            <w:tcW w:w="1357" w:type="dxa"/>
            <w:tcBorders>
              <w:top w:val="single" w:color="auto" w:sz="4" w:space="0"/>
              <w:bottom w:val="single" w:color="auto" w:sz="4" w:space="0"/>
              <w:right w:val="single" w:color="auto" w:sz="4" w:space="0"/>
            </w:tcBorders>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ind w:firstLine="320" w:firstLineChars="10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220</w:t>
            </w:r>
          </w:p>
        </w:tc>
        <w:tc>
          <w:tcPr>
            <w:tcW w:w="1205"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jc w:val="center"/>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160</w:t>
            </w:r>
          </w:p>
        </w:tc>
        <w:tc>
          <w:tcPr>
            <w:tcW w:w="126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jc w:val="center"/>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110</w:t>
            </w:r>
          </w:p>
        </w:tc>
      </w:tr>
      <w:tr>
        <w:tblPrEx>
          <w:tblCellMar>
            <w:top w:w="0" w:type="dxa"/>
            <w:left w:w="108" w:type="dxa"/>
            <w:bottom w:w="0" w:type="dxa"/>
            <w:right w:w="108" w:type="dxa"/>
          </w:tblCellMar>
        </w:tblPrEx>
        <w:trPr>
          <w:trHeight w:val="553" w:hRule="atLeast"/>
        </w:trPr>
        <w:tc>
          <w:tcPr>
            <w:tcW w:w="4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28"/>
                <w:szCs w:val="28"/>
                <w:highlight w:val="none"/>
              </w:rPr>
              <w:t>公共管理与公共服务用地（元/㎡）</w:t>
            </w:r>
          </w:p>
        </w:tc>
        <w:tc>
          <w:tcPr>
            <w:tcW w:w="1357" w:type="dxa"/>
            <w:tcBorders>
              <w:top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ind w:firstLine="320" w:firstLineChars="100"/>
              <w:jc w:val="both"/>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sz w:val="32"/>
                <w:szCs w:val="32"/>
                <w:highlight w:val="none"/>
              </w:rPr>
              <w:t>130</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jc w:val="center"/>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sz w:val="32"/>
                <w:szCs w:val="32"/>
                <w:highlight w:val="none"/>
              </w:rPr>
              <w:t>100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480" w:lineRule="exact"/>
              <w:jc w:val="center"/>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sz w:val="32"/>
                <w:szCs w:val="32"/>
                <w:highlight w:val="none"/>
              </w:rPr>
              <w:t>80</w:t>
            </w:r>
          </w:p>
        </w:tc>
      </w:tr>
      <w:tr>
        <w:tblPrEx>
          <w:tblCellMar>
            <w:top w:w="0" w:type="dxa"/>
            <w:left w:w="108" w:type="dxa"/>
            <w:bottom w:w="0" w:type="dxa"/>
            <w:right w:w="108" w:type="dxa"/>
          </w:tblCellMar>
        </w:tblPrEx>
        <w:trPr>
          <w:trHeight w:val="520" w:hRule="atLeast"/>
        </w:trPr>
        <w:tc>
          <w:tcPr>
            <w:tcW w:w="4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工业用地（元/㎡）</w:t>
            </w:r>
          </w:p>
        </w:tc>
        <w:tc>
          <w:tcPr>
            <w:tcW w:w="1357"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106</w:t>
            </w:r>
          </w:p>
        </w:tc>
        <w:tc>
          <w:tcPr>
            <w:tcW w:w="1205"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87</w:t>
            </w: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72</w:t>
            </w:r>
          </w:p>
        </w:tc>
      </w:tr>
      <w:tr>
        <w:tblPrEx>
          <w:tblCellMar>
            <w:top w:w="0" w:type="dxa"/>
            <w:left w:w="108" w:type="dxa"/>
            <w:bottom w:w="0" w:type="dxa"/>
            <w:right w:w="108" w:type="dxa"/>
          </w:tblCellMar>
        </w:tblPrEx>
        <w:trPr>
          <w:trHeight w:val="563" w:hRule="atLeast"/>
        </w:trPr>
        <w:tc>
          <w:tcPr>
            <w:tcW w:w="47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级别面积（km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rPr>
              <w:t>）</w:t>
            </w:r>
          </w:p>
        </w:tc>
        <w:tc>
          <w:tcPr>
            <w:tcW w:w="1357"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1.68</w:t>
            </w:r>
          </w:p>
        </w:tc>
        <w:tc>
          <w:tcPr>
            <w:tcW w:w="1205"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3.17</w:t>
            </w:r>
          </w:p>
        </w:tc>
        <w:tc>
          <w:tcPr>
            <w:tcW w:w="1260"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2.42</w:t>
            </w:r>
          </w:p>
        </w:tc>
      </w:tr>
      <w:bookmarkEnd w:id="0"/>
    </w:tbl>
    <w:p>
      <w:pPr>
        <w:pStyle w:val="3"/>
        <w:keepNext w:val="0"/>
        <w:keepLines w:val="0"/>
        <w:pageBreakBefore w:val="0"/>
        <w:widowControl w:val="0"/>
        <w:kinsoku/>
        <w:wordWrap/>
        <w:overflowPunct/>
        <w:topLinePunct w:val="0"/>
        <w:autoSpaceDE/>
        <w:autoSpaceDN/>
        <w:bidi w:val="0"/>
        <w:adjustRightInd/>
        <w:snapToGrid/>
        <w:spacing w:before="0" w:beforeAutospacing="0" w:after="0" w:line="44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pStyle w:val="3"/>
        <w:keepNext w:val="0"/>
        <w:keepLines w:val="0"/>
        <w:pageBreakBefore w:val="0"/>
        <w:widowControl w:val="0"/>
        <w:kinsoku/>
        <w:wordWrap/>
        <w:overflowPunct/>
        <w:topLinePunct w:val="0"/>
        <w:autoSpaceDE/>
        <w:autoSpaceDN/>
        <w:bidi w:val="0"/>
        <w:adjustRightInd/>
        <w:snapToGrid/>
        <w:spacing w:before="0" w:beforeAutospacing="0" w:after="0" w:line="440" w:lineRule="exact"/>
        <w:textAlignment w:val="auto"/>
        <w:rPr>
          <w:rFonts w:ascii="仿宋_GB2312" w:hAnsi="仿宋_GB2312" w:eastAsia="仿宋_GB2312" w:cs="仿宋_GB2312"/>
          <w:color w:val="auto"/>
          <w:sz w:val="32"/>
          <w:szCs w:val="32"/>
          <w:highlight w:val="none"/>
        </w:rPr>
      </w:pPr>
    </w:p>
    <w:p>
      <w:pPr>
        <w:pStyle w:val="3"/>
        <w:spacing w:before="0" w:beforeAutospacing="0" w:after="0" w:line="564"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乌恰县集体建设用地定级与基准地价成果</w:t>
      </w:r>
    </w:p>
    <w:p>
      <w:pPr>
        <w:pStyle w:val="3"/>
        <w:keepNext w:val="0"/>
        <w:keepLines w:val="0"/>
        <w:pageBreakBefore w:val="0"/>
        <w:widowControl w:val="0"/>
        <w:kinsoku/>
        <w:wordWrap/>
        <w:overflowPunct/>
        <w:topLinePunct w:val="0"/>
        <w:autoSpaceDE/>
        <w:autoSpaceDN/>
        <w:bidi w:val="0"/>
        <w:adjustRightInd/>
        <w:snapToGrid/>
        <w:spacing w:before="0" w:beforeAutospacing="0" w:after="0" w:line="440" w:lineRule="exact"/>
        <w:jc w:val="center"/>
        <w:textAlignment w:val="auto"/>
        <w:rPr>
          <w:rFonts w:ascii="方正小标宋简体" w:hAnsi="方正小标宋简体" w:eastAsia="方正小标宋简体" w:cs="方正小标宋简体"/>
          <w:color w:val="auto"/>
          <w:sz w:val="44"/>
          <w:szCs w:val="44"/>
          <w:highlight w:val="none"/>
        </w:rPr>
      </w:pP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一、集体建设用地基准地价内涵</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1.估价期日：2023年12月31日；</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2.土地使用年期：商服用地使用年限40年、工业用地使用年限50年、公共管理与公共服务用地使用年限50年和宅基地</w:t>
      </w:r>
      <w:r>
        <w:rPr>
          <w:rFonts w:hint="default" w:ascii="Times New Roman" w:hAnsi="Times New Roman" w:eastAsia="仿宋" w:cs="Times New Roman"/>
          <w:color w:val="auto"/>
          <w:sz w:val="32"/>
          <w:szCs w:val="32"/>
          <w:highlight w:val="none"/>
        </w:rPr>
        <w:t>无年期限制</w:t>
      </w:r>
      <w:r>
        <w:rPr>
          <w:rFonts w:hint="default" w:ascii="Times New Roman" w:hAnsi="Times New Roman" w:eastAsia="仿宋_GB2312"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3.开发程度：“五通一平”（宗地外</w:t>
      </w:r>
      <w:r>
        <w:rPr>
          <w:rFonts w:hint="default" w:ascii="Times New Roman" w:hAnsi="Times New Roman" w:eastAsia="仿宋" w:cs="Times New Roman"/>
          <w:color w:val="auto"/>
          <w:sz w:val="32"/>
          <w:szCs w:val="32"/>
          <w:highlight w:val="none"/>
        </w:rPr>
        <w:t>通路、通电、通讯、通上水、通下水</w:t>
      </w:r>
      <w:r>
        <w:rPr>
          <w:rFonts w:hint="default" w:ascii="Times New Roman" w:hAnsi="Times New Roman" w:eastAsia="仿宋_GB2312" w:cs="Times New Roman"/>
          <w:color w:val="auto"/>
          <w:sz w:val="32"/>
          <w:szCs w:val="32"/>
          <w:highlight w:val="none"/>
        </w:rPr>
        <w:t>和宗地内场地平整）</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4.容积率：集体商服用地、集体工业用地、集体公共管理与公共服务用地和集体宅基地均为1.0；</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6.土地权利状况：在符合规划和用途管制前提下，土地所有者和使用者分别取得合法集体土地所有权证和使用权证情况下的集体建设用地完整土地使用权市场价格。</w:t>
      </w:r>
    </w:p>
    <w:p>
      <w:pPr>
        <w:pStyle w:val="3"/>
        <w:keepNext w:val="0"/>
        <w:keepLines w:val="0"/>
        <w:pageBreakBefore w:val="0"/>
        <w:widowControl w:val="0"/>
        <w:kinsoku/>
        <w:wordWrap/>
        <w:overflowPunct/>
        <w:topLinePunct w:val="0"/>
        <w:autoSpaceDE/>
        <w:autoSpaceDN/>
        <w:bidi w:val="0"/>
        <w:adjustRightInd/>
        <w:snapToGrid/>
        <w:spacing w:before="0" w:beforeAutospacing="0" w:after="0" w:line="520" w:lineRule="exact"/>
        <w:ind w:firstLine="640" w:firstLineChars="200"/>
        <w:jc w:val="left"/>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二、乌恰县集体建设用地级别面积与基准地价表</w:t>
      </w:r>
    </w:p>
    <w:tbl>
      <w:tblPr>
        <w:tblStyle w:val="7"/>
        <w:tblW w:w="8485" w:type="dxa"/>
        <w:jc w:val="center"/>
        <w:tblLayout w:type="fixed"/>
        <w:tblCellMar>
          <w:top w:w="0" w:type="dxa"/>
          <w:left w:w="108" w:type="dxa"/>
          <w:bottom w:w="0" w:type="dxa"/>
          <w:right w:w="108" w:type="dxa"/>
        </w:tblCellMar>
      </w:tblPr>
      <w:tblGrid>
        <w:gridCol w:w="5593"/>
        <w:gridCol w:w="1674"/>
        <w:gridCol w:w="1218"/>
      </w:tblGrid>
      <w:tr>
        <w:tblPrEx>
          <w:tblCellMar>
            <w:top w:w="0" w:type="dxa"/>
            <w:left w:w="108" w:type="dxa"/>
            <w:bottom w:w="0" w:type="dxa"/>
            <w:right w:w="108" w:type="dxa"/>
          </w:tblCellMar>
        </w:tblPrEx>
        <w:trPr>
          <w:trHeight w:val="290" w:hRule="atLeast"/>
          <w:jc w:val="center"/>
        </w:trPr>
        <w:tc>
          <w:tcPr>
            <w:tcW w:w="5593" w:type="dxa"/>
            <w:tcBorders>
              <w:top w:val="single" w:color="auto" w:sz="4" w:space="0"/>
              <w:left w:val="single" w:color="auto" w:sz="4" w:space="0"/>
              <w:right w:val="single" w:color="auto" w:sz="4" w:space="0"/>
              <w:tl2br w:val="single" w:color="auto" w:sz="4" w:space="0"/>
            </w:tcBorders>
            <w:shd w:val="clear" w:color="auto" w:fill="auto"/>
          </w:tcPr>
          <w:p>
            <w:pPr>
              <w:widowControl/>
              <w:jc w:val="center"/>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 土地级别</w:t>
            </w:r>
          </w:p>
          <w:p>
            <w:pPr>
              <w:widowControl/>
              <w:jc w:val="center"/>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用地类型</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Ⅰ级</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Ⅱ级</w:t>
            </w:r>
          </w:p>
        </w:tc>
      </w:tr>
      <w:tr>
        <w:tblPrEx>
          <w:tblCellMar>
            <w:top w:w="0" w:type="dxa"/>
            <w:left w:w="108" w:type="dxa"/>
            <w:bottom w:w="0" w:type="dxa"/>
            <w:right w:w="108" w:type="dxa"/>
          </w:tblCellMar>
        </w:tblPrEx>
        <w:trPr>
          <w:trHeight w:val="378" w:hRule="atLeast"/>
          <w:jc w:val="center"/>
        </w:trPr>
        <w:tc>
          <w:tcPr>
            <w:tcW w:w="5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商服用地（元/㎡）</w:t>
            </w:r>
          </w:p>
        </w:tc>
        <w:tc>
          <w:tcPr>
            <w:tcW w:w="1674" w:type="dxa"/>
            <w:tcBorders>
              <w:top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15</w:t>
            </w:r>
            <w:r>
              <w:rPr>
                <w:rFonts w:hint="default" w:ascii="Times New Roman" w:hAnsi="Times New Roman" w:eastAsia="仿宋_GB2312" w:cs="Times New Roman"/>
                <w:color w:val="auto"/>
                <w:sz w:val="32"/>
                <w:szCs w:val="32"/>
                <w:highlight w:val="none"/>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52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rPr>
              <w:t>0</w:t>
            </w:r>
          </w:p>
        </w:tc>
      </w:tr>
      <w:tr>
        <w:tblPrEx>
          <w:tblCellMar>
            <w:top w:w="0" w:type="dxa"/>
            <w:left w:w="108" w:type="dxa"/>
            <w:bottom w:w="0" w:type="dxa"/>
            <w:right w:w="108" w:type="dxa"/>
          </w:tblCellMar>
        </w:tblPrEx>
        <w:trPr>
          <w:trHeight w:val="514" w:hRule="atLeast"/>
          <w:jc w:val="center"/>
        </w:trPr>
        <w:tc>
          <w:tcPr>
            <w:tcW w:w="5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宅基地（元/㎡）</w:t>
            </w:r>
          </w:p>
        </w:tc>
        <w:tc>
          <w:tcPr>
            <w:tcW w:w="1674" w:type="dxa"/>
            <w:tcBorders>
              <w:top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520" w:lineRule="exact"/>
              <w:ind w:firstLine="320" w:firstLineChars="1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t>0</w:t>
            </w:r>
          </w:p>
        </w:tc>
      </w:tr>
      <w:tr>
        <w:tblPrEx>
          <w:tblCellMar>
            <w:top w:w="0" w:type="dxa"/>
            <w:left w:w="108" w:type="dxa"/>
            <w:bottom w:w="0" w:type="dxa"/>
            <w:right w:w="108" w:type="dxa"/>
          </w:tblCellMar>
        </w:tblPrEx>
        <w:trPr>
          <w:trHeight w:val="514" w:hRule="atLeast"/>
          <w:jc w:val="center"/>
        </w:trPr>
        <w:tc>
          <w:tcPr>
            <w:tcW w:w="5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公共管理与公共服务用地（元/㎡）</w:t>
            </w:r>
          </w:p>
        </w:tc>
        <w:tc>
          <w:tcPr>
            <w:tcW w:w="1674" w:type="dxa"/>
            <w:tcBorders>
              <w:top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t>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520" w:lineRule="exact"/>
              <w:ind w:firstLine="320" w:firstLineChars="1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55</w:t>
            </w:r>
          </w:p>
        </w:tc>
      </w:tr>
      <w:tr>
        <w:tblPrEx>
          <w:tblCellMar>
            <w:top w:w="0" w:type="dxa"/>
            <w:left w:w="108" w:type="dxa"/>
            <w:bottom w:w="0" w:type="dxa"/>
            <w:right w:w="108" w:type="dxa"/>
          </w:tblCellMar>
        </w:tblPrEx>
        <w:trPr>
          <w:trHeight w:val="268" w:hRule="atLeast"/>
          <w:jc w:val="center"/>
        </w:trPr>
        <w:tc>
          <w:tcPr>
            <w:tcW w:w="5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工业用地（元/㎡）</w:t>
            </w:r>
          </w:p>
        </w:tc>
        <w:tc>
          <w:tcPr>
            <w:tcW w:w="1674" w:type="dxa"/>
            <w:tcBorders>
              <w:top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52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50</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before="0" w:beforeAutospacing="0" w:after="0" w:line="520" w:lineRule="exact"/>
              <w:ind w:firstLine="320" w:firstLineChars="1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45</w:t>
            </w:r>
          </w:p>
        </w:tc>
      </w:tr>
      <w:tr>
        <w:tblPrEx>
          <w:tblCellMar>
            <w:top w:w="0" w:type="dxa"/>
            <w:left w:w="108" w:type="dxa"/>
            <w:bottom w:w="0" w:type="dxa"/>
            <w:right w:w="108" w:type="dxa"/>
          </w:tblCellMar>
        </w:tblPrEx>
        <w:trPr>
          <w:trHeight w:val="387" w:hRule="atLeast"/>
          <w:jc w:val="center"/>
        </w:trPr>
        <w:tc>
          <w:tcPr>
            <w:tcW w:w="5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级别面积（km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rPr>
              <w:t>）</w:t>
            </w:r>
          </w:p>
        </w:tc>
        <w:tc>
          <w:tcPr>
            <w:tcW w:w="1674" w:type="dxa"/>
            <w:tcBorders>
              <w:top w:val="single" w:color="auto" w:sz="4" w:space="0"/>
              <w:left w:val="nil"/>
              <w:bottom w:val="single" w:color="auto" w:sz="4" w:space="0"/>
              <w:right w:val="single" w:color="auto" w:sz="4" w:space="0"/>
            </w:tcBorders>
            <w:shd w:val="clear" w:color="auto" w:fill="auto"/>
          </w:tcPr>
          <w:p>
            <w:pPr>
              <w:pStyle w:val="3"/>
              <w:keepNext w:val="0"/>
              <w:keepLines w:val="0"/>
              <w:pageBreakBefore w:val="0"/>
              <w:kinsoku/>
              <w:wordWrap/>
              <w:overflowPunct/>
              <w:topLinePunct w:val="0"/>
              <w:autoSpaceDE/>
              <w:autoSpaceDN/>
              <w:bidi w:val="0"/>
              <w:adjustRightInd/>
              <w:snapToGrid/>
              <w:spacing w:before="0" w:beforeAutospacing="0" w:after="0" w:line="52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1.37</w:t>
            </w:r>
          </w:p>
        </w:tc>
        <w:tc>
          <w:tcPr>
            <w:tcW w:w="1218" w:type="dxa"/>
            <w:tcBorders>
              <w:top w:val="single" w:color="auto" w:sz="4" w:space="0"/>
              <w:left w:val="nil"/>
              <w:bottom w:val="single" w:color="auto" w:sz="4" w:space="0"/>
              <w:right w:val="single" w:color="auto" w:sz="4" w:space="0"/>
            </w:tcBorders>
            <w:shd w:val="clear" w:color="auto" w:fill="auto"/>
          </w:tcPr>
          <w:p>
            <w:pPr>
              <w:pStyle w:val="3"/>
              <w:keepNext w:val="0"/>
              <w:keepLines w:val="0"/>
              <w:pageBreakBefore w:val="0"/>
              <w:kinsoku/>
              <w:wordWrap/>
              <w:overflowPunct/>
              <w:topLinePunct w:val="0"/>
              <w:autoSpaceDE/>
              <w:autoSpaceDN/>
              <w:bidi w:val="0"/>
              <w:adjustRightInd/>
              <w:snapToGrid/>
              <w:spacing w:before="0" w:beforeAutospacing="0" w:after="0" w:line="520" w:lineRule="exact"/>
              <w:jc w:val="center"/>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4.90</w:t>
            </w:r>
          </w:p>
        </w:tc>
      </w:tr>
    </w:tbl>
    <w:p>
      <w:pPr>
        <w:pStyle w:val="3"/>
        <w:keepNext w:val="0"/>
        <w:keepLines w:val="0"/>
        <w:pageBreakBefore w:val="0"/>
        <w:kinsoku/>
        <w:wordWrap/>
        <w:overflowPunct/>
        <w:topLinePunct w:val="0"/>
        <w:autoSpaceDE/>
        <w:autoSpaceDN/>
        <w:bidi w:val="0"/>
        <w:adjustRightInd/>
        <w:snapToGrid/>
        <w:spacing w:before="0" w:beforeAutospacing="0" w:after="0" w:line="520" w:lineRule="exact"/>
        <w:jc w:val="left"/>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rPr>
        <w:t>附件3</w:t>
      </w:r>
      <w:r>
        <w:rPr>
          <w:rFonts w:hint="eastAsia" w:ascii="黑体" w:hAnsi="黑体" w:eastAsia="黑体" w:cs="黑体"/>
          <w:bCs/>
          <w:color w:val="auto"/>
          <w:sz w:val="32"/>
          <w:szCs w:val="32"/>
          <w:highlight w:val="none"/>
          <w:lang w:val="en-US" w:eastAsia="zh-CN"/>
        </w:rPr>
        <w:t>:</w:t>
      </w:r>
    </w:p>
    <w:p>
      <w:pPr>
        <w:pStyle w:val="3"/>
        <w:keepNext w:val="0"/>
        <w:keepLines w:val="0"/>
        <w:pageBreakBefore w:val="0"/>
        <w:kinsoku/>
        <w:wordWrap/>
        <w:overflowPunct/>
        <w:topLinePunct w:val="0"/>
        <w:autoSpaceDE/>
        <w:autoSpaceDN/>
        <w:bidi w:val="0"/>
        <w:adjustRightInd/>
        <w:snapToGrid/>
        <w:spacing w:before="0" w:beforeAutospacing="0" w:after="0" w:line="520" w:lineRule="exact"/>
        <w:jc w:val="left"/>
        <w:textAlignment w:val="auto"/>
        <w:rPr>
          <w:rFonts w:ascii="黑体" w:hAnsi="黑体" w:eastAsia="黑体" w:cs="黑体"/>
          <w:bCs/>
          <w:color w:val="auto"/>
          <w:sz w:val="32"/>
          <w:szCs w:val="32"/>
          <w:highlight w:val="none"/>
        </w:rPr>
      </w:pPr>
    </w:p>
    <w:p>
      <w:pPr>
        <w:pStyle w:val="3"/>
        <w:spacing w:before="0" w:beforeAutospacing="0" w:after="0" w:line="564"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乌恰县农用地定级与基准地价成果</w:t>
      </w:r>
    </w:p>
    <w:p>
      <w:pPr>
        <w:pStyle w:val="3"/>
        <w:spacing w:before="0" w:beforeAutospacing="0" w:after="0" w:line="564" w:lineRule="exact"/>
        <w:jc w:val="left"/>
        <w:rPr>
          <w:rFonts w:ascii="黑体" w:hAnsi="黑体" w:eastAsia="黑体" w:cs="黑体"/>
          <w:bCs/>
          <w:color w:val="auto"/>
          <w:sz w:val="32"/>
          <w:szCs w:val="32"/>
          <w:highlight w:val="none"/>
        </w:rPr>
      </w:pPr>
    </w:p>
    <w:p>
      <w:pPr>
        <w:pStyle w:val="3"/>
        <w:spacing w:before="0" w:beforeAutospacing="0" w:after="0" w:line="564"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一、农用地基准地价内涵</w:t>
      </w:r>
    </w:p>
    <w:p>
      <w:pPr>
        <w:pStyle w:val="3"/>
        <w:spacing w:before="0" w:beforeAutospacing="0" w:after="0" w:line="564"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1.估价期日：2024年6月30日；</w:t>
      </w:r>
    </w:p>
    <w:p>
      <w:pPr>
        <w:spacing w:line="564"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2.用地类型：耕地（包括国有土地和集体土地）；</w:t>
      </w:r>
    </w:p>
    <w:p>
      <w:pPr>
        <w:spacing w:line="564" w:lineRule="exact"/>
        <w:ind w:firstLine="640" w:firstLineChars="200"/>
        <w:jc w:val="left"/>
        <w:rPr>
          <w:rFonts w:ascii="Times New Roman" w:hAnsi="Times New Roman" w:eastAsia="仿宋_GB2312"/>
          <w:color w:val="auto"/>
          <w:sz w:val="32"/>
          <w:szCs w:val="32"/>
          <w:highlight w:val="none"/>
        </w:rPr>
      </w:pPr>
      <w:r>
        <w:rPr>
          <w:rFonts w:hint="default" w:ascii="Times New Roman" w:hAnsi="Times New Roman" w:eastAsia="仿宋_GB2312" w:cs="Times New Roman"/>
          <w:color w:val="auto"/>
          <w:sz w:val="32"/>
          <w:szCs w:val="32"/>
          <w:highlight w:val="none"/>
        </w:rPr>
        <w:t>3.土地权利年期：30年</w:t>
      </w:r>
      <w:r>
        <w:rPr>
          <w:rFonts w:hint="eastAsia" w:ascii="Times New Roman" w:hAnsi="Times New Roman" w:eastAsia="仿宋_GB2312"/>
          <w:color w:val="auto"/>
          <w:sz w:val="32"/>
          <w:szCs w:val="32"/>
          <w:highlight w:val="none"/>
        </w:rPr>
        <w:t>；</w:t>
      </w:r>
    </w:p>
    <w:p>
      <w:pPr>
        <w:spacing w:line="564"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4.耕作制度：一年一熟制；</w:t>
      </w:r>
    </w:p>
    <w:p>
      <w:pPr>
        <w:spacing w:line="564"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5.土地权利类型：承包经营权；</w:t>
      </w:r>
    </w:p>
    <w:p>
      <w:pPr>
        <w:spacing w:line="564"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6.基本设施状况：有正常的灌溉设施，田间道路、防护林、桥、涵、闸等基础设施基本配套，条田平整，耕作层土壤熟化且在正常年份能获得稳定收益。</w:t>
      </w:r>
    </w:p>
    <w:p>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w:t>
      </w:r>
      <w:r>
        <w:rPr>
          <w:rFonts w:hint="eastAsia" w:ascii="黑体" w:hAnsi="黑体" w:eastAsia="黑体" w:cs="黑体"/>
          <w:color w:val="auto"/>
          <w:sz w:val="32"/>
          <w:szCs w:val="32"/>
          <w:highlight w:val="none"/>
        </w:rPr>
        <w:t>乌恰县农用地级别和基准地价表</w:t>
      </w:r>
    </w:p>
    <w:tbl>
      <w:tblPr>
        <w:tblStyle w:val="7"/>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419"/>
        <w:gridCol w:w="3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63" w:type="dxa"/>
            <w:vAlign w:val="center"/>
          </w:tcPr>
          <w:p>
            <w:pPr>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级别</w:t>
            </w:r>
          </w:p>
        </w:tc>
        <w:tc>
          <w:tcPr>
            <w:tcW w:w="3419" w:type="dxa"/>
            <w:vAlign w:val="center"/>
          </w:tcPr>
          <w:p>
            <w:pPr>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价格单位</w:t>
            </w:r>
          </w:p>
        </w:tc>
        <w:tc>
          <w:tcPr>
            <w:tcW w:w="3369" w:type="dxa"/>
            <w:shd w:val="clear" w:color="auto" w:fill="auto"/>
            <w:vAlign w:val="center"/>
          </w:tcPr>
          <w:p>
            <w:pPr>
              <w:widowControl/>
              <w:jc w:val="center"/>
              <w:rPr>
                <w:rFonts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30</w:t>
            </w:r>
            <w:r>
              <w:rPr>
                <w:rFonts w:hint="eastAsia" w:ascii="仿宋_GB2312" w:hAnsi="仿宋_GB2312" w:eastAsia="仿宋_GB2312" w:cs="仿宋_GB2312"/>
                <w:color w:val="auto"/>
                <w:sz w:val="32"/>
                <w:szCs w:val="32"/>
                <w:highlight w:val="none"/>
              </w:rPr>
              <w:t>年基准地价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63" w:type="dxa"/>
            <w:vMerge w:val="restart"/>
            <w:vAlign w:val="center"/>
          </w:tcPr>
          <w:p>
            <w:pPr>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Ⅰ级</w:t>
            </w:r>
          </w:p>
        </w:tc>
        <w:tc>
          <w:tcPr>
            <w:tcW w:w="3419" w:type="dxa"/>
            <w:vAlign w:val="center"/>
          </w:tcPr>
          <w:p>
            <w:pPr>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元/平方米</w:t>
            </w:r>
          </w:p>
        </w:tc>
        <w:tc>
          <w:tcPr>
            <w:tcW w:w="3369" w:type="dxa"/>
            <w:shd w:val="clear" w:color="auto" w:fill="auto"/>
            <w:vAlign w:val="center"/>
          </w:tcPr>
          <w:p>
            <w:pPr>
              <w:widowControl/>
              <w:jc w:val="center"/>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63" w:type="dxa"/>
            <w:vMerge w:val="continue"/>
            <w:vAlign w:val="center"/>
          </w:tcPr>
          <w:p>
            <w:pPr>
              <w:widowControl/>
              <w:jc w:val="center"/>
              <w:rPr>
                <w:rFonts w:ascii="仿宋_GB2312" w:hAnsi="仿宋_GB2312" w:eastAsia="仿宋_GB2312" w:cs="仿宋_GB2312"/>
                <w:color w:val="auto"/>
                <w:sz w:val="32"/>
                <w:szCs w:val="32"/>
                <w:highlight w:val="none"/>
              </w:rPr>
            </w:pPr>
          </w:p>
        </w:tc>
        <w:tc>
          <w:tcPr>
            <w:tcW w:w="3419" w:type="dxa"/>
            <w:vAlign w:val="center"/>
          </w:tcPr>
          <w:p>
            <w:pPr>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元/亩</w:t>
            </w:r>
          </w:p>
        </w:tc>
        <w:tc>
          <w:tcPr>
            <w:tcW w:w="3369" w:type="dxa"/>
            <w:shd w:val="clear" w:color="auto" w:fill="auto"/>
            <w:vAlign w:val="center"/>
          </w:tcPr>
          <w:p>
            <w:pPr>
              <w:widowControl/>
              <w:jc w:val="center"/>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263" w:type="dxa"/>
            <w:vMerge w:val="restart"/>
            <w:vAlign w:val="center"/>
          </w:tcPr>
          <w:p>
            <w:pPr>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Ⅱ级</w:t>
            </w:r>
          </w:p>
        </w:tc>
        <w:tc>
          <w:tcPr>
            <w:tcW w:w="3419" w:type="dxa"/>
            <w:vAlign w:val="center"/>
          </w:tcPr>
          <w:p>
            <w:pPr>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元/平方米</w:t>
            </w:r>
          </w:p>
        </w:tc>
        <w:tc>
          <w:tcPr>
            <w:tcW w:w="3369" w:type="dxa"/>
            <w:shd w:val="clear" w:color="auto" w:fill="auto"/>
            <w:vAlign w:val="center"/>
          </w:tcPr>
          <w:p>
            <w:pPr>
              <w:widowControl/>
              <w:jc w:val="center"/>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63" w:type="dxa"/>
            <w:vMerge w:val="continue"/>
            <w:vAlign w:val="center"/>
          </w:tcPr>
          <w:p>
            <w:pPr>
              <w:widowControl/>
              <w:jc w:val="center"/>
              <w:rPr>
                <w:rFonts w:ascii="仿宋_GB2312" w:hAnsi="仿宋_GB2312" w:eastAsia="仿宋_GB2312" w:cs="仿宋_GB2312"/>
                <w:color w:val="auto"/>
                <w:sz w:val="32"/>
                <w:szCs w:val="32"/>
                <w:highlight w:val="none"/>
              </w:rPr>
            </w:pPr>
          </w:p>
        </w:tc>
        <w:tc>
          <w:tcPr>
            <w:tcW w:w="3419" w:type="dxa"/>
            <w:vAlign w:val="center"/>
          </w:tcPr>
          <w:p>
            <w:pPr>
              <w:widowControl/>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元/亩</w:t>
            </w:r>
          </w:p>
        </w:tc>
        <w:tc>
          <w:tcPr>
            <w:tcW w:w="3369" w:type="dxa"/>
            <w:shd w:val="clear" w:color="auto" w:fill="auto"/>
            <w:vAlign w:val="center"/>
          </w:tcPr>
          <w:p>
            <w:pPr>
              <w:widowControl/>
              <w:jc w:val="center"/>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3550</w:t>
            </w:r>
          </w:p>
        </w:tc>
      </w:tr>
    </w:tbl>
    <w:p>
      <w:pPr>
        <w:pStyle w:val="3"/>
        <w:spacing w:before="0" w:beforeAutospacing="0" w:after="0" w:line="564" w:lineRule="exact"/>
        <w:jc w:val="left"/>
        <w:rPr>
          <w:rFonts w:ascii="黑体" w:hAnsi="黑体" w:eastAsia="黑体" w:cs="黑体"/>
          <w:bCs/>
          <w:color w:val="auto"/>
          <w:sz w:val="32"/>
          <w:szCs w:val="32"/>
          <w:highlight w:val="none"/>
        </w:rPr>
      </w:pPr>
    </w:p>
    <w:tbl>
      <w:tblPr>
        <w:tblStyle w:val="8"/>
        <w:tblpPr w:leftFromText="181" w:rightFromText="181" w:vertAnchor="page" w:horzAnchor="page" w:tblpX="1588" w:tblpY="14225"/>
        <w:tblOverlap w:val="never"/>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948"/>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94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color w:val="000000"/>
                <w:sz w:val="32"/>
                <w:szCs w:val="32"/>
                <w:highlight w:val="none"/>
                <w:vertAlign w:val="baseline"/>
              </w:rPr>
            </w:pPr>
            <w:r>
              <w:rPr>
                <w:rFonts w:hint="default" w:ascii="Times New Roman" w:hAnsi="Times New Roman" w:eastAsia="仿宋_GB2312" w:cs="Times New Roman"/>
                <w:sz w:val="28"/>
                <w:szCs w:val="28"/>
                <w:lang w:val="en-US" w:eastAsia="zh-CN"/>
              </w:rPr>
              <w:t>乌恰县人民政府办公室                    2024年</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lang w:val="en-US" w:eastAsia="zh-CN"/>
              </w:rPr>
              <w:t>日印发</w:t>
            </w:r>
          </w:p>
        </w:tc>
      </w:tr>
    </w:tbl>
    <w:p>
      <w:pPr>
        <w:pStyle w:val="3"/>
        <w:spacing w:before="0" w:beforeAutospacing="0" w:after="0" w:line="564" w:lineRule="exact"/>
        <w:jc w:val="left"/>
        <w:rPr>
          <w:rFonts w:ascii="黑体" w:hAnsi="黑体" w:eastAsia="黑体" w:cs="黑体"/>
          <w:bCs/>
          <w:color w:val="auto"/>
          <w:sz w:val="32"/>
          <w:szCs w:val="32"/>
          <w:highlight w:val="none"/>
        </w:rPr>
      </w:pP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sz w:val="30"/>
                              <w:szCs w:val="30"/>
                            </w:rPr>
                          </w:pPr>
                          <w:r>
                            <w:rPr>
                              <w:rStyle w:val="10"/>
                              <w:rFonts w:hint="eastAsia" w:asciiTheme="minorEastAsia" w:hAnsiTheme="minorEastAsia" w:eastAsiaTheme="minorEastAsia" w:cstheme="minorEastAsia"/>
                              <w:sz w:val="30"/>
                              <w:szCs w:val="30"/>
                            </w:rPr>
                            <w:fldChar w:fldCharType="begin"/>
                          </w:r>
                          <w:r>
                            <w:rPr>
                              <w:rStyle w:val="10"/>
                              <w:rFonts w:hint="eastAsia" w:asciiTheme="minorEastAsia" w:hAnsiTheme="minorEastAsia" w:eastAsiaTheme="minorEastAsia" w:cstheme="minorEastAsia"/>
                              <w:sz w:val="30"/>
                              <w:szCs w:val="30"/>
                            </w:rPr>
                            <w:instrText xml:space="preserve">PAGE  </w:instrText>
                          </w:r>
                          <w:r>
                            <w:rPr>
                              <w:rStyle w:val="10"/>
                              <w:rFonts w:hint="eastAsia" w:asciiTheme="minorEastAsia" w:hAnsiTheme="minorEastAsia" w:eastAsiaTheme="minorEastAsia" w:cstheme="minorEastAsia"/>
                              <w:sz w:val="30"/>
                              <w:szCs w:val="30"/>
                            </w:rPr>
                            <w:fldChar w:fldCharType="separate"/>
                          </w:r>
                          <w:r>
                            <w:rPr>
                              <w:rStyle w:val="10"/>
                              <w:rFonts w:hint="eastAsia" w:asciiTheme="minorEastAsia" w:hAnsiTheme="minorEastAsia" w:eastAsiaTheme="minorEastAsia" w:cstheme="minorEastAsia"/>
                              <w:sz w:val="30"/>
                              <w:szCs w:val="30"/>
                            </w:rPr>
                            <w:t>20</w:t>
                          </w:r>
                          <w:r>
                            <w:rPr>
                              <w:rStyle w:val="10"/>
                              <w:rFonts w:hint="eastAsia" w:asciiTheme="minorEastAsia" w:hAnsiTheme="minorEastAsia" w:eastAsiaTheme="minorEastAsia" w:cstheme="minor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rPr>
                        <w:rStyle w:val="10"/>
                        <w:sz w:val="30"/>
                        <w:szCs w:val="30"/>
                      </w:rPr>
                    </w:pPr>
                    <w:r>
                      <w:rPr>
                        <w:rStyle w:val="10"/>
                        <w:rFonts w:hint="eastAsia" w:asciiTheme="minorEastAsia" w:hAnsiTheme="minorEastAsia" w:eastAsiaTheme="minorEastAsia" w:cstheme="minorEastAsia"/>
                        <w:sz w:val="30"/>
                        <w:szCs w:val="30"/>
                      </w:rPr>
                      <w:fldChar w:fldCharType="begin"/>
                    </w:r>
                    <w:r>
                      <w:rPr>
                        <w:rStyle w:val="10"/>
                        <w:rFonts w:hint="eastAsia" w:asciiTheme="minorEastAsia" w:hAnsiTheme="minorEastAsia" w:eastAsiaTheme="minorEastAsia" w:cstheme="minorEastAsia"/>
                        <w:sz w:val="30"/>
                        <w:szCs w:val="30"/>
                      </w:rPr>
                      <w:instrText xml:space="preserve">PAGE  </w:instrText>
                    </w:r>
                    <w:r>
                      <w:rPr>
                        <w:rStyle w:val="10"/>
                        <w:rFonts w:hint="eastAsia" w:asciiTheme="minorEastAsia" w:hAnsiTheme="minorEastAsia" w:eastAsiaTheme="minorEastAsia" w:cstheme="minorEastAsia"/>
                        <w:sz w:val="30"/>
                        <w:szCs w:val="30"/>
                      </w:rPr>
                      <w:fldChar w:fldCharType="separate"/>
                    </w:r>
                    <w:r>
                      <w:rPr>
                        <w:rStyle w:val="10"/>
                        <w:rFonts w:hint="eastAsia" w:asciiTheme="minorEastAsia" w:hAnsiTheme="minorEastAsia" w:eastAsiaTheme="minorEastAsia" w:cstheme="minorEastAsia"/>
                        <w:sz w:val="30"/>
                        <w:szCs w:val="30"/>
                      </w:rPr>
                      <w:t>20</w:t>
                    </w:r>
                    <w:r>
                      <w:rPr>
                        <w:rStyle w:val="10"/>
                        <w:rFonts w:hint="eastAsia" w:asciiTheme="minorEastAsia" w:hAnsiTheme="minorEastAsia" w:eastAsiaTheme="minorEastAsia" w:cstheme="minorEastAsia"/>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jYTFhNGUxNWYzODgzMjMzMDU4NmEyYWMxN2NhY2EifQ=="/>
  </w:docVars>
  <w:rsids>
    <w:rsidRoot w:val="00F93D69"/>
    <w:rsid w:val="000219AC"/>
    <w:rsid w:val="000468D0"/>
    <w:rsid w:val="000C7756"/>
    <w:rsid w:val="004C0496"/>
    <w:rsid w:val="00575165"/>
    <w:rsid w:val="007D41CB"/>
    <w:rsid w:val="00806700"/>
    <w:rsid w:val="00880979"/>
    <w:rsid w:val="009071D2"/>
    <w:rsid w:val="00953562"/>
    <w:rsid w:val="009F251C"/>
    <w:rsid w:val="00BD118E"/>
    <w:rsid w:val="00BD364F"/>
    <w:rsid w:val="00CA566C"/>
    <w:rsid w:val="00DC1B5F"/>
    <w:rsid w:val="00F60697"/>
    <w:rsid w:val="00F93D69"/>
    <w:rsid w:val="01023729"/>
    <w:rsid w:val="03073B59"/>
    <w:rsid w:val="033D6C49"/>
    <w:rsid w:val="03B35872"/>
    <w:rsid w:val="03E91383"/>
    <w:rsid w:val="050D4E60"/>
    <w:rsid w:val="07E61D88"/>
    <w:rsid w:val="082A2A45"/>
    <w:rsid w:val="08A362D1"/>
    <w:rsid w:val="0BAE50CD"/>
    <w:rsid w:val="0BC669F3"/>
    <w:rsid w:val="0CD9514F"/>
    <w:rsid w:val="0D734D80"/>
    <w:rsid w:val="0E452476"/>
    <w:rsid w:val="0E9D183B"/>
    <w:rsid w:val="0EF9321E"/>
    <w:rsid w:val="0F291AD7"/>
    <w:rsid w:val="0F693AF9"/>
    <w:rsid w:val="10A541CF"/>
    <w:rsid w:val="11624912"/>
    <w:rsid w:val="127F42BF"/>
    <w:rsid w:val="132B7780"/>
    <w:rsid w:val="154D34E6"/>
    <w:rsid w:val="1586154C"/>
    <w:rsid w:val="18C11231"/>
    <w:rsid w:val="18DD2705"/>
    <w:rsid w:val="19414D5F"/>
    <w:rsid w:val="19454969"/>
    <w:rsid w:val="19C90789"/>
    <w:rsid w:val="19D133E7"/>
    <w:rsid w:val="19DF51F1"/>
    <w:rsid w:val="1A437404"/>
    <w:rsid w:val="1A461B2A"/>
    <w:rsid w:val="1A8061A8"/>
    <w:rsid w:val="1B9D4C5C"/>
    <w:rsid w:val="1BAE3361"/>
    <w:rsid w:val="1D5C3938"/>
    <w:rsid w:val="1EE77A61"/>
    <w:rsid w:val="1FA50445"/>
    <w:rsid w:val="2029196B"/>
    <w:rsid w:val="217A4AE1"/>
    <w:rsid w:val="224664C1"/>
    <w:rsid w:val="22A31FDF"/>
    <w:rsid w:val="24810770"/>
    <w:rsid w:val="24E258C7"/>
    <w:rsid w:val="252A30F5"/>
    <w:rsid w:val="265E4700"/>
    <w:rsid w:val="26727723"/>
    <w:rsid w:val="2701693E"/>
    <w:rsid w:val="277B2867"/>
    <w:rsid w:val="28614021"/>
    <w:rsid w:val="28E7712D"/>
    <w:rsid w:val="293E7E2E"/>
    <w:rsid w:val="29D532D8"/>
    <w:rsid w:val="2A896D7C"/>
    <w:rsid w:val="2CB53EA5"/>
    <w:rsid w:val="2F7D786F"/>
    <w:rsid w:val="2FEF042E"/>
    <w:rsid w:val="30403D40"/>
    <w:rsid w:val="30917F49"/>
    <w:rsid w:val="30B96D0F"/>
    <w:rsid w:val="31E0061F"/>
    <w:rsid w:val="33722D8A"/>
    <w:rsid w:val="361F7D93"/>
    <w:rsid w:val="36B9186D"/>
    <w:rsid w:val="374732F7"/>
    <w:rsid w:val="375719B6"/>
    <w:rsid w:val="3913517F"/>
    <w:rsid w:val="39947487"/>
    <w:rsid w:val="3A0A2EB9"/>
    <w:rsid w:val="3A1A4729"/>
    <w:rsid w:val="3A342C2A"/>
    <w:rsid w:val="3A9F2678"/>
    <w:rsid w:val="3B2F4BFE"/>
    <w:rsid w:val="3B8C6CE7"/>
    <w:rsid w:val="3B9D646D"/>
    <w:rsid w:val="3BAA45F3"/>
    <w:rsid w:val="3C893634"/>
    <w:rsid w:val="41214AC6"/>
    <w:rsid w:val="414122CD"/>
    <w:rsid w:val="42301F23"/>
    <w:rsid w:val="44837D33"/>
    <w:rsid w:val="45744646"/>
    <w:rsid w:val="45A94F0D"/>
    <w:rsid w:val="45DE5473"/>
    <w:rsid w:val="472D26D6"/>
    <w:rsid w:val="478F7B9A"/>
    <w:rsid w:val="47BB497D"/>
    <w:rsid w:val="47C62E78"/>
    <w:rsid w:val="48BC5937"/>
    <w:rsid w:val="48E016AC"/>
    <w:rsid w:val="48E32FF3"/>
    <w:rsid w:val="4EDA5C3A"/>
    <w:rsid w:val="50813CF1"/>
    <w:rsid w:val="514A110E"/>
    <w:rsid w:val="51F05F5B"/>
    <w:rsid w:val="53801775"/>
    <w:rsid w:val="53BC10D7"/>
    <w:rsid w:val="54D36316"/>
    <w:rsid w:val="55BF6895"/>
    <w:rsid w:val="55DF0A3C"/>
    <w:rsid w:val="56002C87"/>
    <w:rsid w:val="574468AA"/>
    <w:rsid w:val="5793735D"/>
    <w:rsid w:val="58E72AE7"/>
    <w:rsid w:val="593A77DC"/>
    <w:rsid w:val="59554BC1"/>
    <w:rsid w:val="5989564A"/>
    <w:rsid w:val="59A748AF"/>
    <w:rsid w:val="5A18463B"/>
    <w:rsid w:val="5AB64254"/>
    <w:rsid w:val="5B0E163E"/>
    <w:rsid w:val="5B780C22"/>
    <w:rsid w:val="5C3C14E6"/>
    <w:rsid w:val="5C5069F0"/>
    <w:rsid w:val="5CA7000F"/>
    <w:rsid w:val="5CF759DD"/>
    <w:rsid w:val="5DA56009"/>
    <w:rsid w:val="5E5957C7"/>
    <w:rsid w:val="60156A32"/>
    <w:rsid w:val="616C37C4"/>
    <w:rsid w:val="618F5DB4"/>
    <w:rsid w:val="629923F8"/>
    <w:rsid w:val="631A7B44"/>
    <w:rsid w:val="634B00AB"/>
    <w:rsid w:val="64F27AB6"/>
    <w:rsid w:val="651C0C51"/>
    <w:rsid w:val="67911AFF"/>
    <w:rsid w:val="67E13323"/>
    <w:rsid w:val="67E75F07"/>
    <w:rsid w:val="68611195"/>
    <w:rsid w:val="68CC36FD"/>
    <w:rsid w:val="6B822146"/>
    <w:rsid w:val="6BF411C9"/>
    <w:rsid w:val="6C223454"/>
    <w:rsid w:val="6D255409"/>
    <w:rsid w:val="6F293750"/>
    <w:rsid w:val="70B8767B"/>
    <w:rsid w:val="70CF6EE2"/>
    <w:rsid w:val="72ED3EA7"/>
    <w:rsid w:val="73353292"/>
    <w:rsid w:val="743C3D07"/>
    <w:rsid w:val="760B098A"/>
    <w:rsid w:val="780F6C72"/>
    <w:rsid w:val="78194488"/>
    <w:rsid w:val="787050BC"/>
    <w:rsid w:val="7A537253"/>
    <w:rsid w:val="7AC6638F"/>
    <w:rsid w:val="7B1B3108"/>
    <w:rsid w:val="7C536688"/>
    <w:rsid w:val="7C7B3833"/>
    <w:rsid w:val="7D2E5156"/>
    <w:rsid w:val="7DC659B7"/>
    <w:rsid w:val="7F2634CA"/>
    <w:rsid w:val="7F30674D"/>
    <w:rsid w:val="7F61108B"/>
    <w:rsid w:val="7FEA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00" w:beforeAutospacing="1" w:after="120" w:line="360" w:lineRule="auto"/>
    </w:pPr>
  </w:style>
  <w:style w:type="paragraph" w:styleId="4">
    <w:name w:val="toc 3"/>
    <w:basedOn w:val="1"/>
    <w:next w:val="1"/>
    <w:qFormat/>
    <w:uiPriority w:val="0"/>
    <w:pPr>
      <w:tabs>
        <w:tab w:val="right" w:leader="dot" w:pos="8720"/>
      </w:tabs>
      <w:jc w:val="left"/>
    </w:pPr>
    <w:rPr>
      <w:b/>
      <w:color w:val="000000"/>
      <w:sz w:val="24"/>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1107</Words>
  <Characters>1230</Characters>
  <Lines>14</Lines>
  <Paragraphs>4</Paragraphs>
  <TotalTime>0</TotalTime>
  <ScaleCrop>false</ScaleCrop>
  <LinksUpToDate>false</LinksUpToDate>
  <CharactersWithSpaces>1253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2024-10-08T04:35:00Z</dcterms:created>
  <dc:creator>123456</dc:creator>
  <cp:lastModifiedBy>admin</cp:lastModifiedBy>
  <cp:lastPrinted>2024-10-24T08:24:00Z</cp:lastPrinted>
  <dcterms:modified xsi:type="dcterms:W3CDTF">2024-10-31T04:53:06Z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53EC94EDAF294579A66D3AF55F284681</vt:lpwstr>
  </property>
</Properties>
</file>