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一、行政征收</w:t>
      </w:r>
    </w:p>
    <w:p>
      <w:pPr>
        <w:jc w:val="left"/>
        <w:rPr>
          <w:rFonts w:ascii="黑体" w:hAnsi="黑体" w:eastAsia="黑体"/>
          <w:sz w:val="32"/>
          <w:szCs w:val="32"/>
        </w:rPr>
      </w:pPr>
    </w:p>
    <w:p>
      <w:pPr>
        <w:jc w:val="center"/>
        <w:rPr>
          <w:rFonts w:ascii="黑体" w:hAnsi="黑体" w:eastAsia="黑体"/>
          <w:sz w:val="24"/>
        </w:rPr>
      </w:pPr>
      <w:r>
        <w:rPr>
          <w:rFonts w:hint="eastAsia" w:ascii="宋体" w:hAnsi="宋体"/>
          <w:b/>
          <w:sz w:val="36"/>
          <w:szCs w:val="36"/>
        </w:rPr>
        <w:t>权责事项信息表</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290"/>
        <w:gridCol w:w="13"/>
        <w:gridCol w:w="992"/>
        <w:gridCol w:w="225"/>
        <w:gridCol w:w="768"/>
        <w:gridCol w:w="425"/>
        <w:gridCol w:w="67"/>
        <w:gridCol w:w="360"/>
        <w:gridCol w:w="1080"/>
        <w:gridCol w:w="360"/>
        <w:gridCol w:w="684"/>
        <w:gridCol w:w="186"/>
        <w:gridCol w:w="1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基本信息</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编    码</w:t>
            </w:r>
          </w:p>
        </w:tc>
        <w:tc>
          <w:tcPr>
            <w:tcW w:w="1217" w:type="dxa"/>
            <w:gridSpan w:val="2"/>
            <w:vAlign w:val="center"/>
          </w:tcPr>
          <w:p>
            <w:pPr>
              <w:spacing w:line="360" w:lineRule="exact"/>
              <w:jc w:val="center"/>
              <w:rPr>
                <w:rFonts w:hint="eastAsia" w:ascii="仿宋_GB2312" w:hAnsi="黑体" w:eastAsia="仿宋_GB2312"/>
                <w:sz w:val="24"/>
                <w:lang w:val="en-US" w:eastAsia="zh-CN"/>
              </w:rPr>
            </w:pPr>
            <w:r>
              <w:rPr>
                <w:rFonts w:hint="eastAsia" w:ascii="仿宋_GB2312" w:hAnsi="黑体" w:eastAsia="仿宋_GB2312"/>
                <w:sz w:val="24"/>
                <w:lang w:val="en-US" w:eastAsia="zh-CN"/>
              </w:rPr>
              <w:t>1.28.11</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名    称</w:t>
            </w:r>
          </w:p>
        </w:tc>
        <w:tc>
          <w:tcPr>
            <w:tcW w:w="1507" w:type="dxa"/>
            <w:gridSpan w:val="3"/>
            <w:vAlign w:val="center"/>
          </w:tcPr>
          <w:p>
            <w:pPr>
              <w:spacing w:line="360" w:lineRule="exact"/>
              <w:jc w:val="left"/>
              <w:rPr>
                <w:rFonts w:ascii="仿宋_GB2312" w:hAnsi="黑体" w:eastAsia="仿宋_GB2312"/>
                <w:sz w:val="24"/>
              </w:rPr>
            </w:pPr>
            <w:r>
              <w:rPr>
                <w:rFonts w:hint="eastAsia" w:ascii="仿宋_GB2312" w:hAnsi="黑体" w:eastAsia="仿宋_GB2312"/>
                <w:sz w:val="24"/>
              </w:rPr>
              <w:t>土地闲置费征收</w:t>
            </w:r>
          </w:p>
        </w:tc>
        <w:tc>
          <w:tcPr>
            <w:tcW w:w="1230"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权力类型</w:t>
            </w:r>
          </w:p>
        </w:tc>
        <w:tc>
          <w:tcPr>
            <w:tcW w:w="1799" w:type="dxa"/>
            <w:vAlign w:val="center"/>
          </w:tcPr>
          <w:p>
            <w:pPr>
              <w:spacing w:line="360" w:lineRule="exact"/>
              <w:jc w:val="center"/>
              <w:rPr>
                <w:rFonts w:ascii="仿宋_GB2312" w:hAnsi="黑体" w:eastAsia="仿宋_GB2312"/>
                <w:sz w:val="24"/>
              </w:rPr>
            </w:pPr>
            <w:r>
              <w:rPr>
                <w:rFonts w:hint="eastAsia" w:ascii="仿宋_GB2312" w:hAnsi="黑体" w:eastAsia="仿宋_GB2312"/>
                <w:sz w:val="24"/>
              </w:rPr>
              <w:t>行政征收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设定依据</w:t>
            </w:r>
          </w:p>
        </w:tc>
        <w:tc>
          <w:tcPr>
            <w:tcW w:w="6946" w:type="dxa"/>
            <w:gridSpan w:val="11"/>
            <w:vAlign w:val="center"/>
          </w:tcPr>
          <w:p>
            <w:pPr>
              <w:jc w:val="left"/>
              <w:rPr>
                <w:rFonts w:ascii="宋体" w:hAnsi="宋体" w:cs="宋体"/>
                <w:color w:val="000000"/>
                <w:sz w:val="24"/>
              </w:rPr>
            </w:pPr>
            <w:r>
              <w:rPr>
                <w:rFonts w:hint="eastAsia" w:ascii="宋体" w:hAnsi="宋体" w:cs="宋体"/>
                <w:color w:val="000000"/>
                <w:sz w:val="24"/>
              </w:rPr>
              <w:t>1.</w:t>
            </w:r>
            <w:r>
              <w:rPr>
                <w:rFonts w:hint="eastAsia" w:ascii="宋体" w:hAnsi="宋体" w:cs="宋体"/>
                <w:sz w:val="24"/>
              </w:rPr>
              <w:t>《中华人民共和国土地管理法》第三十八条</w:t>
            </w:r>
          </w:p>
          <w:p>
            <w:pPr>
              <w:jc w:val="left"/>
              <w:rPr>
                <w:rFonts w:ascii="宋体" w:hAnsi="宋体" w:cs="宋体"/>
                <w:sz w:val="24"/>
              </w:rPr>
            </w:pPr>
            <w:r>
              <w:rPr>
                <w:rFonts w:hint="eastAsia" w:ascii="宋体" w:hAnsi="宋体" w:cs="宋体"/>
                <w:color w:val="000000"/>
                <w:sz w:val="24"/>
              </w:rPr>
              <w:t>2.</w:t>
            </w:r>
            <w:r>
              <w:rPr>
                <w:rFonts w:hint="eastAsia" w:ascii="宋体" w:hAnsi="宋体" w:cs="宋体"/>
                <w:sz w:val="24"/>
              </w:rPr>
              <w:t>《中华人民共和国城市房地产管理法》第二十六条</w:t>
            </w:r>
          </w:p>
          <w:p>
            <w:pPr>
              <w:jc w:val="left"/>
              <w:rPr>
                <w:rFonts w:ascii="宋体" w:hAnsi="宋体" w:cs="宋体"/>
                <w:sz w:val="24"/>
              </w:rPr>
            </w:pPr>
            <w:r>
              <w:rPr>
                <w:rFonts w:hint="eastAsia" w:ascii="宋体" w:hAnsi="宋体" w:cs="宋体"/>
                <w:sz w:val="24"/>
              </w:rPr>
              <w:t>3.《闲置土地处置办法》第十四条</w:t>
            </w:r>
          </w:p>
          <w:p>
            <w:pPr>
              <w:jc w:val="left"/>
              <w:rPr>
                <w:rFonts w:ascii="宋体" w:hAnsi="宋体" w:cs="宋体"/>
                <w:color w:val="000000"/>
                <w:sz w:val="24"/>
              </w:rPr>
            </w:pPr>
            <w:r>
              <w:rPr>
                <w:rFonts w:hint="eastAsia" w:ascii="宋体" w:hAnsi="宋体" w:cs="宋体"/>
                <w:color w:val="000000"/>
                <w:sz w:val="24"/>
              </w:rPr>
              <w:t>4.《政府非税收入管理办法》（财税〔2016〕33号）第九条</w:t>
            </w:r>
          </w:p>
          <w:p>
            <w:pPr>
              <w:jc w:val="left"/>
              <w:rPr>
                <w:rFonts w:ascii="宋体" w:hAnsi="宋体" w:cs="宋体"/>
                <w:color w:val="000000"/>
                <w:sz w:val="24"/>
              </w:rPr>
            </w:pPr>
            <w:r>
              <w:rPr>
                <w:rFonts w:hint="eastAsia" w:ascii="宋体" w:hAnsi="宋体" w:cs="宋体"/>
                <w:sz w:val="24"/>
              </w:rPr>
              <w:t>5.《关于下发&lt;自治区国土资源系统土地管理行政事业性收费标准&gt;的通知》（新计价房〔2001〕500号）</w:t>
            </w:r>
          </w:p>
          <w:p>
            <w:pPr>
              <w:jc w:val="left"/>
              <w:rPr>
                <w:rFonts w:ascii="宋体" w:hAnsi="宋体" w:cs="宋体"/>
                <w:color w:val="000000"/>
                <w:sz w:val="24"/>
              </w:rPr>
            </w:pPr>
            <w:r>
              <w:rPr>
                <w:rFonts w:hint="eastAsia" w:ascii="宋体" w:hAnsi="宋体" w:cs="宋体"/>
                <w:color w:val="000000"/>
                <w:sz w:val="24"/>
              </w:rPr>
              <w:t>6.《关于土地闲置费、城镇垃圾处理费划转税务部门征收的通知》（财税〔2021〕8号）第一条</w:t>
            </w:r>
          </w:p>
          <w:p>
            <w:pPr>
              <w:jc w:val="left"/>
              <w:rPr>
                <w:rFonts w:ascii="仿宋_GB2312" w:hAnsi="黑体" w:eastAsia="仿宋_GB2312"/>
                <w:sz w:val="24"/>
              </w:rPr>
            </w:pPr>
            <w:r>
              <w:rPr>
                <w:rFonts w:hint="eastAsia" w:ascii="宋体" w:hAnsi="宋体" w:cs="宋体"/>
                <w:color w:val="000000"/>
                <w:sz w:val="24"/>
              </w:rPr>
              <w:t>7.《</w:t>
            </w:r>
            <w:r>
              <w:rPr>
                <w:rFonts w:hint="eastAsia" w:ascii="宋体" w:hAnsi="宋体" w:cs="宋体"/>
                <w:sz w:val="24"/>
              </w:rPr>
              <w:t>国家税务总局 财政部 自然资源部 住房和城乡建设部 中国人民银行关于土地闲置费 城镇垃圾处理费划转有关征管事项的公告</w:t>
            </w:r>
            <w:r>
              <w:rPr>
                <w:rFonts w:hint="eastAsia" w:ascii="宋体" w:hAnsi="宋体" w:cs="宋体"/>
                <w:color w:val="000000"/>
                <w:sz w:val="24"/>
              </w:rPr>
              <w:t>》（2021年第12号）第四条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适用对象</w:t>
            </w:r>
          </w:p>
          <w:p>
            <w:pPr>
              <w:spacing w:line="360" w:lineRule="exact"/>
              <w:jc w:val="center"/>
              <w:rPr>
                <w:rFonts w:ascii="仿宋_GB2312" w:hAnsi="黑体" w:eastAsia="仿宋_GB2312"/>
                <w:b/>
                <w:sz w:val="24"/>
              </w:rPr>
            </w:pPr>
            <w:r>
              <w:rPr>
                <w:rFonts w:hint="eastAsia" w:ascii="仿宋_GB2312" w:hAnsi="黑体" w:eastAsia="仿宋_GB2312"/>
                <w:b/>
                <w:sz w:val="24"/>
              </w:rPr>
              <w:t>（可多选）</w:t>
            </w:r>
          </w:p>
        </w:tc>
        <w:tc>
          <w:tcPr>
            <w:tcW w:w="1217" w:type="dxa"/>
            <w:gridSpan w:val="2"/>
            <w:vAlign w:val="center"/>
          </w:tcPr>
          <w:p>
            <w:pPr>
              <w:spacing w:line="360" w:lineRule="exact"/>
              <w:ind w:firstLine="210" w:firstLineChars="100"/>
              <w:jc w:val="both"/>
              <w:rPr>
                <w:rFonts w:ascii="仿宋_GB2312" w:hAnsi="黑体" w:eastAsia="仿宋_GB2312"/>
                <w:szCs w:val="21"/>
              </w:rPr>
            </w:pPr>
            <w:r>
              <w:rPr>
                <w:rFonts w:hint="default" w:ascii="Arial" w:hAnsi="Arial" w:eastAsia="仿宋_GB2312" w:cs="Arial"/>
                <w:szCs w:val="21"/>
              </w:rPr>
              <w:sym w:font="Wingdings" w:char="00FE"/>
            </w:r>
            <w:r>
              <w:rPr>
                <w:rFonts w:ascii="仿宋_GB2312" w:hAnsi="黑体" w:eastAsia="仿宋_GB2312"/>
                <w:szCs w:val="21"/>
              </w:rPr>
              <w:t>单位</w:t>
            </w:r>
          </w:p>
          <w:p>
            <w:pPr>
              <w:spacing w:line="360" w:lineRule="exact"/>
              <w:jc w:val="center"/>
              <w:rPr>
                <w:rFonts w:ascii="仿宋_GB2312" w:hAnsi="黑体" w:eastAsia="仿宋_GB2312"/>
                <w:szCs w:val="21"/>
              </w:rPr>
            </w:pPr>
            <w:r>
              <w:rPr>
                <w:rFonts w:hint="default" w:ascii="Arial" w:hAnsi="Arial" w:eastAsia="仿宋_GB2312" w:cs="Arial"/>
                <w:szCs w:val="21"/>
              </w:rPr>
              <w:sym w:font="Wingdings" w:char="00FE"/>
            </w:r>
            <w:r>
              <w:rPr>
                <w:rFonts w:ascii="仿宋_GB2312" w:hAnsi="黑体" w:eastAsia="仿宋_GB2312"/>
                <w:szCs w:val="21"/>
              </w:rPr>
              <w:t>个人</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启动类型</w:t>
            </w:r>
          </w:p>
        </w:tc>
        <w:tc>
          <w:tcPr>
            <w:tcW w:w="1507" w:type="dxa"/>
            <w:gridSpan w:val="3"/>
            <w:vAlign w:val="center"/>
          </w:tcPr>
          <w:p>
            <w:pPr>
              <w:spacing w:line="360" w:lineRule="exact"/>
              <w:ind w:firstLine="210" w:firstLineChars="100"/>
              <w:jc w:val="both"/>
              <w:rPr>
                <w:rFonts w:ascii="仿宋_GB2312" w:hAnsi="黑体" w:eastAsia="仿宋_GB2312"/>
                <w:sz w:val="24"/>
              </w:rPr>
            </w:pPr>
            <w:r>
              <w:rPr>
                <w:rFonts w:hint="default" w:ascii="Arial" w:hAnsi="Arial" w:eastAsia="仿宋_GB2312" w:cs="Arial"/>
                <w:szCs w:val="21"/>
              </w:rPr>
              <w:sym w:font="Wingdings" w:char="00FE"/>
            </w:r>
            <w:r>
              <w:rPr>
                <w:rFonts w:ascii="仿宋_GB2312" w:hAnsi="黑体" w:eastAsia="仿宋_GB2312"/>
                <w:sz w:val="24"/>
              </w:rPr>
              <w:t>依职权</w:t>
            </w:r>
          </w:p>
          <w:p>
            <w:pPr>
              <w:spacing w:line="360" w:lineRule="exact"/>
              <w:jc w:val="center"/>
              <w:rPr>
                <w:rFonts w:ascii="仿宋_GB2312" w:hAnsi="黑体" w:eastAsia="仿宋_GB2312"/>
                <w:sz w:val="24"/>
              </w:rPr>
            </w:pPr>
            <w:r>
              <w:rPr>
                <w:rFonts w:hint="eastAsia" w:ascii="仿宋_GB2312" w:hAnsi="黑体" w:eastAsia="仿宋_GB2312"/>
                <w:sz w:val="24"/>
              </w:rPr>
              <w:t>□</w:t>
            </w:r>
            <w:r>
              <w:rPr>
                <w:rFonts w:ascii="仿宋_GB2312" w:hAnsi="黑体" w:eastAsia="仿宋_GB2312"/>
                <w:sz w:val="24"/>
              </w:rPr>
              <w:t>依申请</w:t>
            </w:r>
          </w:p>
        </w:tc>
        <w:tc>
          <w:tcPr>
            <w:tcW w:w="1230"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数量规定</w:t>
            </w:r>
          </w:p>
        </w:tc>
        <w:tc>
          <w:tcPr>
            <w:tcW w:w="1799" w:type="dxa"/>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收费规定</w:t>
            </w:r>
          </w:p>
        </w:tc>
        <w:tc>
          <w:tcPr>
            <w:tcW w:w="2410"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网上办理</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通办类型</w:t>
            </w:r>
          </w:p>
        </w:tc>
        <w:tc>
          <w:tcPr>
            <w:tcW w:w="2410"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办理方式（可多选）</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648" w:type="dxa"/>
            <w:vMerge w:val="restart"/>
            <w:vAlign w:val="center"/>
          </w:tcPr>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r>
              <w:rPr>
                <w:rFonts w:hint="eastAsia" w:ascii="宋体" w:hAnsi="宋体"/>
                <w:b/>
                <w:sz w:val="28"/>
                <w:szCs w:val="28"/>
              </w:rPr>
              <w:t>办理信息</w:t>
            </w: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p>
          <w:p>
            <w:pPr>
              <w:spacing w:line="360" w:lineRule="exact"/>
              <w:jc w:val="center"/>
              <w:rPr>
                <w:rFonts w:ascii="宋体" w:hAnsi="宋体"/>
                <w:b/>
                <w:sz w:val="28"/>
                <w:szCs w:val="28"/>
              </w:rPr>
            </w:pPr>
            <w:r>
              <w:rPr>
                <w:rFonts w:hint="eastAsia" w:ascii="宋体" w:hAnsi="宋体"/>
                <w:b/>
                <w:sz w:val="28"/>
                <w:szCs w:val="28"/>
              </w:rPr>
              <w:t>办理信息</w:t>
            </w:r>
          </w:p>
          <w:p>
            <w:pPr>
              <w:spacing w:line="360" w:lineRule="exact"/>
              <w:jc w:val="center"/>
              <w:rPr>
                <w:rFonts w:ascii="宋体" w:hAnsi="宋体"/>
                <w:b/>
                <w:sz w:val="28"/>
                <w:szCs w:val="28"/>
              </w:rPr>
            </w:pPr>
          </w:p>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受理部门</w:t>
            </w:r>
          </w:p>
        </w:tc>
        <w:tc>
          <w:tcPr>
            <w:tcW w:w="2410" w:type="dxa"/>
            <w:gridSpan w:val="4"/>
            <w:vAlign w:val="center"/>
          </w:tcPr>
          <w:p>
            <w:pPr>
              <w:spacing w:line="360" w:lineRule="exact"/>
              <w:jc w:val="center"/>
              <w:rPr>
                <w:rFonts w:ascii="仿宋_GB2312" w:hAnsi="黑体" w:eastAsia="仿宋_GB2312"/>
                <w:b/>
                <w:sz w:val="24"/>
              </w:rPr>
            </w:pPr>
            <w:r>
              <w:rPr>
                <w:rFonts w:hint="eastAsia" w:ascii="宋体" w:hAnsi="宋体" w:cs="宋体"/>
                <w:sz w:val="24"/>
              </w:rPr>
              <w:t>――</w:t>
            </w:r>
          </w:p>
        </w:tc>
        <w:tc>
          <w:tcPr>
            <w:tcW w:w="1507" w:type="dxa"/>
            <w:gridSpan w:val="3"/>
            <w:vAlign w:val="center"/>
          </w:tcPr>
          <w:p>
            <w:pPr>
              <w:spacing w:line="360" w:lineRule="exact"/>
              <w:jc w:val="center"/>
              <w:rPr>
                <w:rFonts w:ascii="仿宋_GB2312" w:eastAsia="仿宋_GB2312"/>
                <w:sz w:val="18"/>
                <w:szCs w:val="18"/>
              </w:rPr>
            </w:pPr>
            <w:r>
              <w:rPr>
                <w:rFonts w:hint="eastAsia" w:ascii="仿宋_GB2312" w:hAnsi="黑体" w:eastAsia="仿宋_GB2312"/>
                <w:b/>
                <w:sz w:val="24"/>
              </w:rPr>
              <w:t>地址</w:t>
            </w:r>
          </w:p>
        </w:tc>
        <w:tc>
          <w:tcPr>
            <w:tcW w:w="3029" w:type="dxa"/>
            <w:gridSpan w:val="4"/>
            <w:vAlign w:val="center"/>
          </w:tcPr>
          <w:p>
            <w:pPr>
              <w:spacing w:line="360" w:lineRule="exact"/>
              <w:jc w:val="center"/>
              <w:rPr>
                <w:rFonts w:ascii="仿宋_GB2312" w:eastAsia="仿宋_GB2312"/>
                <w:sz w:val="18"/>
                <w:szCs w:val="18"/>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实施机关</w:t>
            </w:r>
          </w:p>
        </w:tc>
        <w:tc>
          <w:tcPr>
            <w:tcW w:w="1217" w:type="dxa"/>
            <w:gridSpan w:val="2"/>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w:t>
            </w:r>
          </w:p>
        </w:tc>
        <w:tc>
          <w:tcPr>
            <w:tcW w:w="11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管辖范围</w:t>
            </w:r>
          </w:p>
        </w:tc>
        <w:tc>
          <w:tcPr>
            <w:tcW w:w="1507" w:type="dxa"/>
            <w:gridSpan w:val="3"/>
            <w:vAlign w:val="center"/>
          </w:tcPr>
          <w:p>
            <w:pPr>
              <w:spacing w:line="360" w:lineRule="exact"/>
              <w:jc w:val="left"/>
              <w:rPr>
                <w:rFonts w:ascii="仿宋_GB2312" w:hAnsi="黑体" w:eastAsia="仿宋_GB2312"/>
                <w:sz w:val="24"/>
              </w:rPr>
            </w:pPr>
            <w:r>
              <w:rPr>
                <w:rFonts w:hint="eastAsia" w:ascii="仿宋_GB2312" w:hAnsi="黑体" w:eastAsia="仿宋_GB2312"/>
                <w:sz w:val="24"/>
              </w:rPr>
              <w:t>新疆维吾尔自治区克尔柯孜自治州乌恰县</w:t>
            </w:r>
          </w:p>
        </w:tc>
        <w:tc>
          <w:tcPr>
            <w:tcW w:w="1044"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w:t>
            </w:r>
          </w:p>
        </w:tc>
        <w:tc>
          <w:tcPr>
            <w:tcW w:w="1985" w:type="dxa"/>
            <w:gridSpan w:val="2"/>
            <w:vAlign w:val="center"/>
          </w:tcPr>
          <w:p>
            <w:pPr>
              <w:spacing w:line="360" w:lineRule="exact"/>
              <w:jc w:val="left"/>
              <w:rPr>
                <w:rFonts w:ascii="仿宋_GB2312" w:eastAsia="仿宋_GB2312"/>
                <w:sz w:val="18"/>
                <w:szCs w:val="18"/>
              </w:rPr>
            </w:pPr>
            <w:r>
              <w:rPr>
                <w:rFonts w:hint="eastAsia" w:ascii="仿宋_GB2312" w:hAnsi="黑体" w:eastAsia="仿宋_GB2312"/>
                <w:sz w:val="24"/>
              </w:rPr>
              <w:t>新疆维吾尔自治区克尔柯孜自治州乌恰县政务服务大厅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适用条件</w:t>
            </w:r>
          </w:p>
        </w:tc>
        <w:tc>
          <w:tcPr>
            <w:tcW w:w="6946" w:type="dxa"/>
            <w:gridSpan w:val="11"/>
            <w:vAlign w:val="center"/>
          </w:tcPr>
          <w:p>
            <w:pPr>
              <w:spacing w:line="360" w:lineRule="exact"/>
              <w:ind w:firstLine="420" w:firstLineChars="200"/>
              <w:jc w:val="left"/>
              <w:rPr>
                <w:rFonts w:ascii="仿宋_GB2312" w:eastAsia="仿宋_GB2312"/>
                <w:sz w:val="24"/>
              </w:rPr>
            </w:pPr>
            <w:r>
              <w:rPr>
                <w:rFonts w:hint="eastAsia" w:ascii="仿宋_GB2312" w:hAnsi="仿宋_GB2312" w:eastAsia="仿宋_GB2312" w:cs="仿宋_GB2312"/>
                <w:szCs w:val="32"/>
                <w:lang w:val="en-US" w:eastAsia="zh-CN"/>
              </w:rPr>
              <w:t>已经办理审批手续的非农业建设占用耕地，一年以上未动工建设的，应当按照省、自治区、直辖市的规定缴纳闲置费。以出让方式取得土地使用权进行房地产开发的，超过出让合同约定的动工开发日期满一年未动工开发的，可以征收相当于土地使用权出让金百分之二十以下的土地闲置费；但是，因不可抗力或者政府、政府有关部门的行为或者动工开发必需的前期工作造成动工开发迟延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裁量标准</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提交材料</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rPr>
              <w:t>1.缴费人身份证或其他有效身份证明；</w:t>
            </w:r>
          </w:p>
          <w:p>
            <w:pPr>
              <w:spacing w:line="360" w:lineRule="exact"/>
              <w:jc w:val="left"/>
              <w:rPr>
                <w:rFonts w:ascii="仿宋_GB2312" w:hAnsi="黑体" w:eastAsia="仿宋_GB2312"/>
                <w:sz w:val="24"/>
              </w:rPr>
            </w:pPr>
            <w:r>
              <w:rPr>
                <w:rFonts w:hint="eastAsia" w:ascii="仿宋_GB2312" w:hAnsi="黑体" w:eastAsia="仿宋_GB2312"/>
                <w:sz w:val="24"/>
              </w:rPr>
              <w:t>2.个体、企业需携带营业执照原件或复印件，行政机关、事业单位需携带统一社会信用代码证书原件或复印件；</w:t>
            </w:r>
          </w:p>
          <w:p>
            <w:pPr>
              <w:rPr>
                <w:rFonts w:ascii="仿宋_GB2312" w:hAnsi="黑体" w:eastAsia="仿宋_GB2312"/>
                <w:sz w:val="24"/>
              </w:rPr>
            </w:pPr>
            <w:r>
              <w:rPr>
                <w:rFonts w:hint="eastAsia" w:ascii="仿宋_GB2312" w:hAnsi="黑体" w:eastAsia="仿宋_GB2312"/>
                <w:sz w:val="24"/>
              </w:rPr>
              <w:t>3.自然资源部门出具的《土地闲置费缴费通知书》。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申请期限</w:t>
            </w:r>
          </w:p>
        </w:tc>
        <w:tc>
          <w:tcPr>
            <w:tcW w:w="992" w:type="dxa"/>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99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法定办理期限</w:t>
            </w:r>
          </w:p>
        </w:tc>
        <w:tc>
          <w:tcPr>
            <w:tcW w:w="1932"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044"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承诺办理期限</w:t>
            </w:r>
          </w:p>
        </w:tc>
        <w:tc>
          <w:tcPr>
            <w:tcW w:w="1985" w:type="dxa"/>
            <w:gridSpan w:val="2"/>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办理流程</w:t>
            </w:r>
          </w:p>
        </w:tc>
        <w:tc>
          <w:tcPr>
            <w:tcW w:w="6946" w:type="dxa"/>
            <w:gridSpan w:val="11"/>
            <w:vAlign w:val="center"/>
          </w:tcPr>
          <w:p>
            <w:pPr>
              <w:spacing w:line="360" w:lineRule="exact"/>
              <w:jc w:val="center"/>
              <w:rPr>
                <w:rFonts w:ascii="仿宋_GB2312" w:hAnsi="黑体" w:eastAsia="仿宋_GB2312"/>
                <w:sz w:val="24"/>
              </w:rPr>
            </w:pPr>
            <w:r>
              <w:fldChar w:fldCharType="begin"/>
            </w:r>
            <w:r>
              <w:instrText xml:space="preserve"> HYPERLINK "file:///G:\\333333\\巴楚县税务局\\巴楚县税务局补充编列权责事项（事项表、信息表、流程图）\\土地闲置费\\巴楚县土地闲置费征收流程图.docx" </w:instrText>
            </w:r>
            <w:r>
              <w:fldChar w:fldCharType="separate"/>
            </w:r>
            <w:r>
              <w:rPr>
                <w:rStyle w:val="10"/>
                <w:rFonts w:ascii="仿宋_GB2312" w:hAnsi="黑体" w:eastAsia="仿宋_GB2312"/>
                <w:sz w:val="24"/>
              </w:rPr>
              <w:t>土地闲置费征收流程图</w:t>
            </w:r>
            <w:r>
              <w:rPr>
                <w:rStyle w:val="10"/>
                <w:rFonts w:ascii="仿宋_GB2312" w:hAnsi="黑体" w:eastAsia="仿宋_GB2312"/>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特殊规定</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中介服务及依据</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2"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部门衔接</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监管措施</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日常监管</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共享信息</w:t>
            </w:r>
          </w:p>
        </w:tc>
        <w:tc>
          <w:tcPr>
            <w:tcW w:w="2477" w:type="dxa"/>
            <w:gridSpan w:val="5"/>
            <w:vAlign w:val="center"/>
          </w:tcPr>
          <w:p>
            <w:pPr>
              <w:spacing w:line="360" w:lineRule="exact"/>
              <w:jc w:val="center"/>
              <w:rPr>
                <w:rFonts w:ascii="仿宋_GB2312" w:hAnsi="黑体" w:eastAsia="仿宋_GB2312"/>
                <w:sz w:val="24"/>
              </w:rPr>
            </w:pPr>
            <w:r>
              <w:rPr>
                <w:rFonts w:hint="eastAsia" w:ascii="宋体" w:hAnsi="宋体" w:cs="宋体"/>
                <w:sz w:val="24"/>
              </w:rPr>
              <w:t>――</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核查信息</w:t>
            </w:r>
          </w:p>
        </w:tc>
        <w:tc>
          <w:tcPr>
            <w:tcW w:w="3029" w:type="dxa"/>
            <w:gridSpan w:val="4"/>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咨询查询</w:t>
            </w:r>
          </w:p>
          <w:p>
            <w:pPr>
              <w:spacing w:line="360" w:lineRule="exact"/>
              <w:jc w:val="center"/>
              <w:rPr>
                <w:rFonts w:ascii="宋体" w:hAnsi="宋体"/>
                <w:b/>
                <w:sz w:val="28"/>
                <w:szCs w:val="28"/>
              </w:rPr>
            </w:pPr>
            <w:r>
              <w:rPr>
                <w:rFonts w:hint="eastAsia" w:ascii="宋体" w:hAnsi="宋体"/>
                <w:b/>
                <w:sz w:val="28"/>
                <w:szCs w:val="28"/>
              </w:rPr>
              <w:t>咨询查询</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咨询途径</w:t>
            </w:r>
          </w:p>
        </w:tc>
        <w:tc>
          <w:tcPr>
            <w:tcW w:w="6946" w:type="dxa"/>
            <w:gridSpan w:val="11"/>
            <w:vAlign w:val="center"/>
          </w:tcPr>
          <w:p>
            <w:pPr>
              <w:spacing w:line="360" w:lineRule="exact"/>
              <w:jc w:val="center"/>
              <w:rPr>
                <w:rFonts w:ascii="仿宋_GB2312" w:hAnsi="黑体" w:eastAsia="仿宋_GB2312"/>
                <w:sz w:val="24"/>
              </w:rPr>
            </w:pPr>
            <w:r>
              <w:rPr>
                <w:rFonts w:hint="eastAsia" w:ascii="仿宋" w:hAnsi="仿宋" w:eastAsia="仿宋" w:cs="仿宋"/>
                <w:sz w:val="24"/>
                <w:lang w:val="zh-CN"/>
              </w:rPr>
              <w:t>0908-</w:t>
            </w:r>
            <w:r>
              <w:rPr>
                <w:rFonts w:hint="eastAsia" w:ascii="仿宋" w:hAnsi="仿宋" w:eastAsia="仿宋" w:cs="仿宋"/>
                <w:sz w:val="24"/>
              </w:rPr>
              <w:t>4621606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进度结果查询</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结果名称及样本</w:t>
            </w:r>
          </w:p>
        </w:tc>
        <w:tc>
          <w:tcPr>
            <w:tcW w:w="6946" w:type="dxa"/>
            <w:gridSpan w:val="11"/>
            <w:vAlign w:val="center"/>
          </w:tcPr>
          <w:p>
            <w:pPr>
              <w:spacing w:line="360" w:lineRule="exact"/>
              <w:jc w:val="center"/>
              <w:rPr>
                <w:rFonts w:ascii="仿宋_GB2312" w:hAnsi="黑体" w:eastAsia="仿宋_GB2312"/>
                <w:sz w:val="24"/>
              </w:rPr>
            </w:pPr>
            <w:r>
              <w:fldChar w:fldCharType="begin"/>
            </w:r>
            <w:r>
              <w:instrText xml:space="preserve"> HYPERLINK "中华人民共和国税收完税证明（表格式）.docx" </w:instrText>
            </w:r>
            <w:r>
              <w:fldChar w:fldCharType="separate"/>
            </w:r>
            <w:r>
              <w:rPr>
                <w:rStyle w:val="11"/>
                <w:rFonts w:hint="eastAsia" w:ascii="仿宋_GB2312" w:hAnsi="仿宋_GB2312" w:eastAsia="仿宋_GB2312" w:cs="仿宋_GB2312"/>
                <w:bCs/>
                <w:sz w:val="24"/>
              </w:rPr>
              <w:t>中华人民共和国税收完税证明（表格式）</w:t>
            </w:r>
            <w:r>
              <w:rPr>
                <w:rStyle w:val="11"/>
                <w:rFonts w:hint="eastAsia" w:ascii="仿宋_GB2312" w:hAnsi="仿宋_GB2312" w:eastAsia="仿宋_GB2312" w:cs="仿宋_GB2312"/>
                <w:bCs/>
                <w:sz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结果公示渠道</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951" w:type="dxa"/>
            <w:gridSpan w:val="3"/>
            <w:vAlign w:val="center"/>
          </w:tcPr>
          <w:p>
            <w:pPr>
              <w:spacing w:line="360" w:lineRule="exact"/>
              <w:jc w:val="center"/>
              <w:rPr>
                <w:rFonts w:ascii="宋体" w:hAnsi="宋体"/>
                <w:b/>
                <w:sz w:val="28"/>
                <w:szCs w:val="28"/>
              </w:rPr>
            </w:pPr>
            <w:r>
              <w:rPr>
                <w:rFonts w:hint="eastAsia" w:ascii="宋体" w:hAnsi="宋体"/>
                <w:b/>
                <w:sz w:val="28"/>
                <w:szCs w:val="28"/>
              </w:rPr>
              <w:t>申请人责任</w:t>
            </w:r>
          </w:p>
        </w:tc>
        <w:tc>
          <w:tcPr>
            <w:tcW w:w="6946" w:type="dxa"/>
            <w:gridSpan w:val="11"/>
            <w:vAlign w:val="center"/>
          </w:tcPr>
          <w:p>
            <w:pPr>
              <w:spacing w:line="360" w:lineRule="exact"/>
              <w:jc w:val="center"/>
              <w:rPr>
                <w:rFonts w:ascii="仿宋_GB2312" w:hAnsi="黑体" w:eastAsia="仿宋_GB2312"/>
                <w:sz w:val="24"/>
              </w:rPr>
            </w:pP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5"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监督责任</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追责情形</w:t>
            </w:r>
          </w:p>
        </w:tc>
        <w:tc>
          <w:tcPr>
            <w:tcW w:w="6946" w:type="dxa"/>
            <w:gridSpan w:val="11"/>
            <w:vAlign w:val="center"/>
          </w:tcPr>
          <w:p>
            <w:pPr>
              <w:spacing w:line="360" w:lineRule="exact"/>
              <w:jc w:val="left"/>
              <w:rPr>
                <w:rFonts w:hint="eastAsia" w:ascii="仿宋_GB2312" w:hAnsi="黑体" w:eastAsia="仿宋_GB2312"/>
                <w:sz w:val="24"/>
              </w:rPr>
            </w:pPr>
            <w:r>
              <w:rPr>
                <w:rFonts w:hint="eastAsia" w:ascii="仿宋_GB2312" w:hAnsi="黑体" w:eastAsia="仿宋_GB2312"/>
                <w:sz w:val="24"/>
              </w:rPr>
              <w:t>税务机关及其工作人员履行行政职责存在以下情形的，应当承担相应责任：</w:t>
            </w:r>
          </w:p>
          <w:p>
            <w:pPr>
              <w:spacing w:line="360" w:lineRule="exact"/>
              <w:jc w:val="left"/>
              <w:rPr>
                <w:rFonts w:ascii="仿宋_GB2312" w:hAnsi="黑体" w:eastAsia="仿宋_GB2312"/>
                <w:sz w:val="24"/>
              </w:rPr>
            </w:pPr>
            <w:r>
              <w:rPr>
                <w:rFonts w:ascii="仿宋_GB2312" w:hAnsi="黑体" w:eastAsia="仿宋_GB2312"/>
                <w:sz w:val="24"/>
              </w:rPr>
              <w:t>1</w:t>
            </w:r>
            <w:r>
              <w:rPr>
                <w:rFonts w:hint="eastAsia" w:ascii="仿宋_GB2312" w:hAnsi="黑体" w:eastAsia="仿宋_GB2312"/>
                <w:sz w:val="24"/>
              </w:rPr>
              <w:t>.擅自减免土地闲置费或者改变土地闲置费征收范围、对象和标准的；</w:t>
            </w:r>
          </w:p>
          <w:p>
            <w:pPr>
              <w:spacing w:line="360" w:lineRule="exact"/>
              <w:jc w:val="left"/>
              <w:rPr>
                <w:rFonts w:ascii="仿宋_GB2312" w:hAnsi="黑体" w:eastAsia="仿宋_GB2312"/>
                <w:sz w:val="24"/>
              </w:rPr>
            </w:pPr>
            <w:r>
              <w:rPr>
                <w:rFonts w:ascii="仿宋_GB2312" w:hAnsi="黑体" w:eastAsia="仿宋_GB2312"/>
                <w:sz w:val="24"/>
              </w:rPr>
              <w:t>2</w:t>
            </w:r>
            <w:r>
              <w:rPr>
                <w:rFonts w:hint="eastAsia" w:ascii="仿宋_GB2312" w:hAnsi="黑体" w:eastAsia="仿宋_GB2312"/>
                <w:sz w:val="24"/>
              </w:rPr>
              <w:t>.不按照规定的预算级次、预算科目将土地闲置费缴入国库的；</w:t>
            </w:r>
          </w:p>
          <w:p>
            <w:pPr>
              <w:spacing w:line="360" w:lineRule="exact"/>
              <w:jc w:val="left"/>
              <w:rPr>
                <w:rFonts w:ascii="仿宋_GB2312" w:hAnsi="黑体" w:eastAsia="仿宋_GB2312"/>
                <w:sz w:val="24"/>
              </w:rPr>
            </w:pPr>
            <w:r>
              <w:rPr>
                <w:rFonts w:ascii="仿宋_GB2312" w:hAnsi="黑体" w:eastAsia="仿宋_GB2312"/>
                <w:sz w:val="24"/>
              </w:rPr>
              <w:t>3</w:t>
            </w:r>
            <w:r>
              <w:rPr>
                <w:rFonts w:hint="eastAsia" w:ascii="仿宋_GB2312" w:hAnsi="黑体" w:eastAsia="仿宋_GB2312"/>
                <w:sz w:val="24"/>
              </w:rPr>
              <w:t>.在土地闲置费征收和使用管理工作中徇私舞弊、玩忽职守、滥用职权的；</w:t>
            </w:r>
          </w:p>
          <w:p>
            <w:pPr>
              <w:spacing w:line="360" w:lineRule="exact"/>
              <w:jc w:val="left"/>
              <w:rPr>
                <w:rFonts w:hint="eastAsia" w:ascii="仿宋_GB2312" w:hAnsi="黑体" w:eastAsia="仿宋_GB2312"/>
                <w:sz w:val="24"/>
              </w:rPr>
            </w:pPr>
            <w:r>
              <w:rPr>
                <w:rFonts w:ascii="仿宋_GB2312" w:hAnsi="黑体" w:eastAsia="仿宋_GB2312"/>
                <w:sz w:val="24"/>
              </w:rPr>
              <w:t>4</w:t>
            </w:r>
            <w:r>
              <w:rPr>
                <w:rFonts w:hint="eastAsia" w:ascii="仿宋_GB2312" w:hAnsi="黑体" w:eastAsia="仿宋_GB2312"/>
                <w:sz w:val="24"/>
              </w:rPr>
              <w:t>.法律、行政法规等规定的其他不履行或者不正确履行行政职责的情形。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监督机构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国家税务总局乌恰县税务局纪检组</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联系方式</w:t>
            </w:r>
          </w:p>
        </w:tc>
        <w:tc>
          <w:tcPr>
            <w:tcW w:w="2669" w:type="dxa"/>
            <w:gridSpan w:val="3"/>
            <w:vAlign w:val="center"/>
          </w:tcPr>
          <w:p>
            <w:pPr>
              <w:ind w:left="200"/>
              <w:jc w:val="left"/>
              <w:rPr>
                <w:rFonts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zh-CN"/>
              </w:rPr>
              <w:t>0908-</w:t>
            </w:r>
            <w:r>
              <w:rPr>
                <w:rFonts w:hint="eastAsia" w:ascii="仿宋" w:hAnsi="仿宋" w:eastAsia="仿宋" w:cs="仿宋"/>
                <w:sz w:val="24"/>
              </w:rPr>
              <w:t>4621517</w:t>
            </w:r>
          </w:p>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投诉受理机构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国家税务总局乌恰县税务局纳税服务股</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联系方式</w:t>
            </w:r>
          </w:p>
        </w:tc>
        <w:tc>
          <w:tcPr>
            <w:tcW w:w="2669" w:type="dxa"/>
            <w:gridSpan w:val="3"/>
            <w:vAlign w:val="center"/>
          </w:tcPr>
          <w:p>
            <w:pPr>
              <w:ind w:left="200"/>
              <w:rPr>
                <w:rFonts w:ascii="仿宋" w:hAnsi="仿宋" w:eastAsia="仿宋" w:cs="仿宋"/>
                <w:sz w:val="24"/>
              </w:rPr>
            </w:pPr>
            <w:r>
              <w:rPr>
                <w:rFonts w:hint="eastAsia" w:ascii="仿宋" w:hAnsi="仿宋" w:eastAsia="仿宋" w:cs="仿宋"/>
                <w:sz w:val="24"/>
                <w:lang w:val="zh-CN"/>
              </w:rPr>
              <w:t>0908-</w:t>
            </w:r>
            <w:r>
              <w:rPr>
                <w:rFonts w:hint="eastAsia" w:ascii="仿宋" w:hAnsi="仿宋" w:eastAsia="仿宋" w:cs="仿宋"/>
                <w:sz w:val="24"/>
              </w:rPr>
              <w:t>4621606</w:t>
            </w:r>
          </w:p>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信访受理机构</w:t>
            </w:r>
          </w:p>
        </w:tc>
        <w:tc>
          <w:tcPr>
            <w:tcW w:w="2837" w:type="dxa"/>
            <w:gridSpan w:val="6"/>
            <w:vAlign w:val="center"/>
          </w:tcPr>
          <w:p>
            <w:pPr>
              <w:spacing w:line="360" w:lineRule="exact"/>
              <w:jc w:val="left"/>
              <w:rPr>
                <w:rFonts w:ascii="仿宋_GB2312" w:hAnsi="黑体" w:eastAsia="仿宋_GB2312"/>
                <w:sz w:val="24"/>
              </w:rPr>
            </w:pPr>
            <w:r>
              <w:rPr>
                <w:rFonts w:hint="eastAsia" w:ascii="仿宋_GB2312" w:hAnsi="黑体" w:eastAsia="仿宋_GB2312"/>
                <w:sz w:val="24"/>
              </w:rPr>
              <w:t>国家税务总局乌恰县税务局办公室</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地址和联系方式</w:t>
            </w:r>
          </w:p>
        </w:tc>
        <w:tc>
          <w:tcPr>
            <w:tcW w:w="2669" w:type="dxa"/>
            <w:gridSpan w:val="3"/>
            <w:vAlign w:val="center"/>
          </w:tcPr>
          <w:p>
            <w:pPr>
              <w:jc w:val="left"/>
              <w:rPr>
                <w:rFonts w:ascii="仿宋" w:hAnsi="仿宋" w:eastAsia="仿宋" w:cs="仿宋"/>
                <w:sz w:val="24"/>
              </w:rPr>
            </w:pPr>
            <w:r>
              <w:rPr>
                <w:rFonts w:hint="eastAsia" w:ascii="仿宋" w:hAnsi="仿宋" w:eastAsia="仿宋" w:cs="仿宋"/>
                <w:sz w:val="24"/>
                <w:lang w:val="zh-CN"/>
              </w:rPr>
              <w:t>新疆维吾尔自治区克孜勒苏柯尔克孜自治州乌恰县平安路</w:t>
            </w:r>
            <w:r>
              <w:rPr>
                <w:rFonts w:hint="eastAsia" w:ascii="仿宋" w:hAnsi="仿宋" w:eastAsia="仿宋" w:cs="仿宋"/>
                <w:sz w:val="24"/>
              </w:rPr>
              <w:t>21</w:t>
            </w:r>
            <w:r>
              <w:rPr>
                <w:rFonts w:hint="eastAsia" w:ascii="仿宋" w:hAnsi="仿宋" w:eastAsia="仿宋" w:cs="仿宋"/>
                <w:sz w:val="24"/>
                <w:lang w:val="zh-CN"/>
              </w:rPr>
              <w:t>号院0908-</w:t>
            </w:r>
            <w:r>
              <w:rPr>
                <w:rFonts w:hint="eastAsia" w:ascii="仿宋" w:hAnsi="仿宋" w:eastAsia="仿宋" w:cs="仿宋"/>
                <w:sz w:val="24"/>
              </w:rPr>
              <w:t>4622649</w:t>
            </w:r>
          </w:p>
          <w:p>
            <w:pPr>
              <w:spacing w:line="360" w:lineRule="exact"/>
              <w:jc w:val="left"/>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法律救济</w:t>
            </w: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行政复议机关</w:t>
            </w:r>
          </w:p>
        </w:tc>
        <w:tc>
          <w:tcPr>
            <w:tcW w:w="2837" w:type="dxa"/>
            <w:gridSpan w:val="6"/>
            <w:vAlign w:val="center"/>
          </w:tcPr>
          <w:p>
            <w:pPr>
              <w:spacing w:line="360" w:lineRule="exact"/>
              <w:jc w:val="left"/>
              <w:rPr>
                <w:rFonts w:ascii="仿宋_GB2312" w:hAnsi="黑体" w:eastAsia="仿宋_GB2312"/>
                <w:szCs w:val="21"/>
              </w:rPr>
            </w:pPr>
            <w:r>
              <w:rPr>
                <w:rFonts w:hint="eastAsia" w:ascii="仿宋_GB2312" w:hAnsi="黑体" w:eastAsia="仿宋_GB2312"/>
                <w:sz w:val="24"/>
              </w:rPr>
              <w:t>国家税务总局克州税务局</w:t>
            </w:r>
            <w:r>
              <w:rPr>
                <w:rFonts w:hint="eastAsia" w:ascii="仿宋_GB2312" w:hAnsi="黑体" w:eastAsia="仿宋_GB2312"/>
                <w:sz w:val="24"/>
                <w:lang w:eastAsia="zh-CN"/>
              </w:rPr>
              <w:t>（仅供参考，具体案件中，案件管辖以及是否属于复议受理范围，由有权机关依法确定。）</w:t>
            </w:r>
          </w:p>
        </w:tc>
        <w:tc>
          <w:tcPr>
            <w:tcW w:w="1440"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地址和联系方式</w:t>
            </w:r>
          </w:p>
        </w:tc>
        <w:tc>
          <w:tcPr>
            <w:tcW w:w="2669" w:type="dxa"/>
            <w:gridSpan w:val="3"/>
            <w:vAlign w:val="center"/>
          </w:tcPr>
          <w:p>
            <w:pPr>
              <w:spacing w:line="360" w:lineRule="exact"/>
              <w:jc w:val="left"/>
              <w:rPr>
                <w:rFonts w:ascii="仿宋_GB2312" w:hAnsi="黑体" w:eastAsia="仿宋_GB2312"/>
                <w:sz w:val="24"/>
              </w:rPr>
            </w:pPr>
            <w:r>
              <w:rPr>
                <w:rFonts w:ascii="仿宋_GB2312" w:hAnsi="黑体" w:eastAsia="仿宋_GB2312"/>
                <w:sz w:val="24"/>
              </w:rPr>
              <w:t>新疆维吾尔自治区克孜勒苏柯尔克孜自治州</w:t>
            </w:r>
            <w:r>
              <w:rPr>
                <w:rFonts w:hint="eastAsia" w:ascii="仿宋_GB2312" w:hAnsi="黑体" w:eastAsia="仿宋_GB2312"/>
                <w:sz w:val="24"/>
              </w:rPr>
              <w:t>光明路21号0908-4235209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48" w:type="dxa"/>
            <w:vMerge w:val="continue"/>
            <w:vAlign w:val="center"/>
          </w:tcPr>
          <w:p>
            <w:pPr>
              <w:spacing w:line="360" w:lineRule="exact"/>
              <w:jc w:val="center"/>
              <w:rPr>
                <w:rFonts w:ascii="宋体" w:hAnsi="宋体"/>
                <w:b/>
                <w:sz w:val="28"/>
                <w:szCs w:val="28"/>
              </w:rPr>
            </w:pPr>
          </w:p>
        </w:tc>
        <w:tc>
          <w:tcPr>
            <w:tcW w:w="1303" w:type="dxa"/>
            <w:gridSpan w:val="2"/>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行政诉讼管辖法院</w:t>
            </w:r>
          </w:p>
        </w:tc>
        <w:tc>
          <w:tcPr>
            <w:tcW w:w="6946" w:type="dxa"/>
            <w:gridSpan w:val="11"/>
            <w:vAlign w:val="center"/>
          </w:tcPr>
          <w:p>
            <w:pPr>
              <w:spacing w:line="360" w:lineRule="exact"/>
              <w:jc w:val="left"/>
              <w:rPr>
                <w:rFonts w:ascii="仿宋_GB2312" w:hAnsi="黑体" w:eastAsia="仿宋_GB2312"/>
                <w:sz w:val="24"/>
              </w:rPr>
            </w:pPr>
            <w:r>
              <w:rPr>
                <w:rFonts w:hint="eastAsia" w:ascii="仿宋_GB2312" w:hAnsi="黑体" w:eastAsia="仿宋_GB2312"/>
                <w:sz w:val="24"/>
              </w:rPr>
              <w:t>新疆维吾尔</w:t>
            </w:r>
            <w:bookmarkStart w:id="0" w:name="_GoBack"/>
            <w:bookmarkEnd w:id="0"/>
            <w:r>
              <w:rPr>
                <w:rFonts w:hint="eastAsia" w:ascii="仿宋_GB2312" w:hAnsi="黑体" w:eastAsia="仿宋_GB2312"/>
                <w:sz w:val="24"/>
              </w:rPr>
              <w:t>自治区克尔柯孜自治州乌恰县人民法院</w:t>
            </w:r>
            <w:r>
              <w:rPr>
                <w:rFonts w:hint="eastAsia" w:ascii="仿宋_GB2312" w:hAnsi="黑体" w:eastAsia="仿宋_GB2312"/>
                <w:sz w:val="24"/>
                <w:lang w:eastAsia="zh-CN"/>
              </w:rPr>
              <w:t>（</w:t>
            </w:r>
            <w:r>
              <w:rPr>
                <w:rFonts w:hint="eastAsia" w:ascii="仿宋_GB2312" w:hAnsi="黑体" w:eastAsia="仿宋_GB2312"/>
                <w:sz w:val="24"/>
              </w:rPr>
              <w:t>仅供参考。具体案件中，案件管辖以及是否属于诉讼受理范围，由有权机关依法确定。</w:t>
            </w:r>
            <w:r>
              <w:rPr>
                <w:rFonts w:hint="eastAsia" w:ascii="仿宋_GB2312" w:hAnsi="黑体" w:eastAsia="仿宋_GB2312"/>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648" w:type="dxa"/>
            <w:vAlign w:val="center"/>
          </w:tcPr>
          <w:p>
            <w:pPr>
              <w:spacing w:line="360" w:lineRule="exact"/>
              <w:jc w:val="center"/>
              <w:rPr>
                <w:rFonts w:ascii="宋体" w:hAnsi="宋体"/>
                <w:b/>
                <w:sz w:val="28"/>
                <w:szCs w:val="28"/>
              </w:rPr>
            </w:pPr>
            <w:r>
              <w:rPr>
                <w:rFonts w:hint="eastAsia" w:ascii="宋体" w:hAnsi="宋体"/>
                <w:b/>
                <w:sz w:val="28"/>
                <w:szCs w:val="28"/>
              </w:rPr>
              <w:t>常见问题</w:t>
            </w:r>
          </w:p>
        </w:tc>
        <w:tc>
          <w:tcPr>
            <w:tcW w:w="8249" w:type="dxa"/>
            <w:gridSpan w:val="13"/>
            <w:vAlign w:val="center"/>
          </w:tcPr>
          <w:p>
            <w:pPr>
              <w:spacing w:line="360" w:lineRule="exact"/>
              <w:rPr>
                <w:rFonts w:ascii="仿宋_GB2312" w:hAnsi="黑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648" w:type="dxa"/>
            <w:vMerge w:val="restart"/>
            <w:vAlign w:val="center"/>
          </w:tcPr>
          <w:p>
            <w:pPr>
              <w:spacing w:line="360" w:lineRule="exact"/>
              <w:jc w:val="center"/>
              <w:rPr>
                <w:rFonts w:ascii="宋体" w:hAnsi="宋体"/>
                <w:b/>
                <w:sz w:val="28"/>
                <w:szCs w:val="28"/>
              </w:rPr>
            </w:pPr>
            <w:r>
              <w:rPr>
                <w:rFonts w:hint="eastAsia" w:ascii="宋体" w:hAnsi="宋体"/>
                <w:b/>
                <w:sz w:val="28"/>
                <w:szCs w:val="28"/>
              </w:rPr>
              <w:t>留言区</w:t>
            </w: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我要投诉</w:t>
            </w:r>
          </w:p>
        </w:tc>
        <w:tc>
          <w:tcPr>
            <w:tcW w:w="6959" w:type="dxa"/>
            <w:gridSpan w:val="12"/>
            <w:vAlign w:val="center"/>
          </w:tcPr>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648" w:type="dxa"/>
            <w:vMerge w:val="continue"/>
            <w:vAlign w:val="center"/>
          </w:tcPr>
          <w:p>
            <w:pPr>
              <w:spacing w:line="360" w:lineRule="exact"/>
              <w:jc w:val="center"/>
              <w:rPr>
                <w:rFonts w:ascii="华文中宋" w:hAnsi="华文中宋" w:eastAsia="华文中宋"/>
                <w:sz w:val="24"/>
              </w:rPr>
            </w:pP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我要评价</w:t>
            </w:r>
          </w:p>
        </w:tc>
        <w:tc>
          <w:tcPr>
            <w:tcW w:w="6959" w:type="dxa"/>
            <w:gridSpan w:val="12"/>
            <w:vAlign w:val="center"/>
          </w:tcPr>
          <w:p>
            <w:pPr>
              <w:spacing w:line="360" w:lineRule="exact"/>
              <w:jc w:val="center"/>
              <w:rPr>
                <w:rFonts w:ascii="仿宋_GB2312" w:hAnsi="黑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48" w:type="dxa"/>
            <w:vMerge w:val="continue"/>
            <w:vAlign w:val="center"/>
          </w:tcPr>
          <w:p>
            <w:pPr>
              <w:spacing w:line="360" w:lineRule="exact"/>
              <w:jc w:val="center"/>
              <w:rPr>
                <w:rFonts w:ascii="华文中宋" w:hAnsi="华文中宋" w:eastAsia="华文中宋"/>
                <w:sz w:val="24"/>
              </w:rPr>
            </w:pPr>
          </w:p>
        </w:tc>
        <w:tc>
          <w:tcPr>
            <w:tcW w:w="1290" w:type="dxa"/>
            <w:vAlign w:val="center"/>
          </w:tcPr>
          <w:p>
            <w:pPr>
              <w:spacing w:line="360" w:lineRule="exact"/>
              <w:jc w:val="center"/>
              <w:rPr>
                <w:rFonts w:ascii="仿宋_GB2312" w:hAnsi="黑体" w:eastAsia="仿宋_GB2312"/>
                <w:b/>
                <w:sz w:val="24"/>
              </w:rPr>
            </w:pPr>
            <w:r>
              <w:rPr>
                <w:rFonts w:hint="eastAsia" w:ascii="仿宋_GB2312" w:hAnsi="黑体" w:eastAsia="仿宋_GB2312"/>
                <w:b/>
                <w:sz w:val="24"/>
              </w:rPr>
              <w:t>我要建议</w:t>
            </w:r>
          </w:p>
        </w:tc>
        <w:tc>
          <w:tcPr>
            <w:tcW w:w="6959" w:type="dxa"/>
            <w:gridSpan w:val="12"/>
            <w:vAlign w:val="center"/>
          </w:tcPr>
          <w:p>
            <w:pPr>
              <w:spacing w:line="360" w:lineRule="exact"/>
              <w:jc w:val="center"/>
              <w:rPr>
                <w:rFonts w:ascii="仿宋_GB2312" w:hAnsi="黑体" w:eastAsia="仿宋_GB2312"/>
                <w:sz w:val="24"/>
              </w:rPr>
            </w:pPr>
          </w:p>
        </w:tc>
      </w:tr>
    </w:tbl>
    <w:p>
      <w:pPr>
        <w:rPr>
          <w:rFonts w:ascii="黑体" w:hAnsi="黑体" w:eastAsia="黑体"/>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6pebnPAAAABQEAAA8AAAAAAAAAAQAgAAAAIgAAAGRycy9k&#10;b3ducmV2LnhtbFBLAQIUABQAAAAIAIdO4kAfBqN30gEAAKUDAAAOAAAAAAAAAAEAIAAAAB4BAABk&#10;cnMvZTJvRG9jLnhtbFBLBQYAAAAABgAGAFkBAABi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9AA"/>
    <w:rsid w:val="000013D1"/>
    <w:rsid w:val="00011F6B"/>
    <w:rsid w:val="00025D5E"/>
    <w:rsid w:val="0006338F"/>
    <w:rsid w:val="00065E68"/>
    <w:rsid w:val="00083828"/>
    <w:rsid w:val="00086687"/>
    <w:rsid w:val="0009302E"/>
    <w:rsid w:val="000940DA"/>
    <w:rsid w:val="00096063"/>
    <w:rsid w:val="00096466"/>
    <w:rsid w:val="000976A0"/>
    <w:rsid w:val="000A72C5"/>
    <w:rsid w:val="000F3B0B"/>
    <w:rsid w:val="00107C93"/>
    <w:rsid w:val="00127CBF"/>
    <w:rsid w:val="00154F1A"/>
    <w:rsid w:val="00191B26"/>
    <w:rsid w:val="001B20FC"/>
    <w:rsid w:val="001C7EBD"/>
    <w:rsid w:val="001D523C"/>
    <w:rsid w:val="001E530A"/>
    <w:rsid w:val="002046CC"/>
    <w:rsid w:val="002053AB"/>
    <w:rsid w:val="0021744D"/>
    <w:rsid w:val="00220511"/>
    <w:rsid w:val="0023064B"/>
    <w:rsid w:val="00240D30"/>
    <w:rsid w:val="00244CE0"/>
    <w:rsid w:val="00246161"/>
    <w:rsid w:val="00252315"/>
    <w:rsid w:val="00263083"/>
    <w:rsid w:val="00263923"/>
    <w:rsid w:val="00265D66"/>
    <w:rsid w:val="00274C20"/>
    <w:rsid w:val="002D7B5A"/>
    <w:rsid w:val="002E4238"/>
    <w:rsid w:val="00335E98"/>
    <w:rsid w:val="00367C65"/>
    <w:rsid w:val="00393AB2"/>
    <w:rsid w:val="003A29FC"/>
    <w:rsid w:val="003B000D"/>
    <w:rsid w:val="003C5703"/>
    <w:rsid w:val="003D08E4"/>
    <w:rsid w:val="003D59E5"/>
    <w:rsid w:val="003F05EE"/>
    <w:rsid w:val="004633F6"/>
    <w:rsid w:val="00467B1E"/>
    <w:rsid w:val="004812B3"/>
    <w:rsid w:val="004866F4"/>
    <w:rsid w:val="004949F9"/>
    <w:rsid w:val="004B4F73"/>
    <w:rsid w:val="004C54A5"/>
    <w:rsid w:val="004C5EDE"/>
    <w:rsid w:val="004E506E"/>
    <w:rsid w:val="004E5C46"/>
    <w:rsid w:val="004F12F6"/>
    <w:rsid w:val="004F146D"/>
    <w:rsid w:val="00514155"/>
    <w:rsid w:val="00521B8A"/>
    <w:rsid w:val="0059405A"/>
    <w:rsid w:val="005A2DF4"/>
    <w:rsid w:val="005B798C"/>
    <w:rsid w:val="005D26EF"/>
    <w:rsid w:val="005E4A1E"/>
    <w:rsid w:val="005F45D6"/>
    <w:rsid w:val="005F6397"/>
    <w:rsid w:val="006011A5"/>
    <w:rsid w:val="00610B89"/>
    <w:rsid w:val="00611931"/>
    <w:rsid w:val="00613A5B"/>
    <w:rsid w:val="00622F61"/>
    <w:rsid w:val="0066263D"/>
    <w:rsid w:val="00685E87"/>
    <w:rsid w:val="006A3D3E"/>
    <w:rsid w:val="00700239"/>
    <w:rsid w:val="00710449"/>
    <w:rsid w:val="0072471F"/>
    <w:rsid w:val="00732986"/>
    <w:rsid w:val="00757523"/>
    <w:rsid w:val="007650B3"/>
    <w:rsid w:val="0077792E"/>
    <w:rsid w:val="007A4D52"/>
    <w:rsid w:val="007E682A"/>
    <w:rsid w:val="007F13E7"/>
    <w:rsid w:val="007F7E9D"/>
    <w:rsid w:val="00801E0D"/>
    <w:rsid w:val="00803AC4"/>
    <w:rsid w:val="00804A25"/>
    <w:rsid w:val="00807390"/>
    <w:rsid w:val="008121E9"/>
    <w:rsid w:val="00831C6B"/>
    <w:rsid w:val="00832C29"/>
    <w:rsid w:val="008333EF"/>
    <w:rsid w:val="008544FF"/>
    <w:rsid w:val="00864463"/>
    <w:rsid w:val="00865DE6"/>
    <w:rsid w:val="008669FF"/>
    <w:rsid w:val="00883051"/>
    <w:rsid w:val="00893C64"/>
    <w:rsid w:val="00895369"/>
    <w:rsid w:val="00897C33"/>
    <w:rsid w:val="008A6469"/>
    <w:rsid w:val="008C01B9"/>
    <w:rsid w:val="008C37BF"/>
    <w:rsid w:val="008D086C"/>
    <w:rsid w:val="008D1670"/>
    <w:rsid w:val="00902E51"/>
    <w:rsid w:val="0090694F"/>
    <w:rsid w:val="009138B5"/>
    <w:rsid w:val="0094303A"/>
    <w:rsid w:val="00966D7F"/>
    <w:rsid w:val="0097023F"/>
    <w:rsid w:val="00970ED1"/>
    <w:rsid w:val="0097557F"/>
    <w:rsid w:val="00980C55"/>
    <w:rsid w:val="00982F06"/>
    <w:rsid w:val="009925BC"/>
    <w:rsid w:val="009B036B"/>
    <w:rsid w:val="009C7227"/>
    <w:rsid w:val="00A03B48"/>
    <w:rsid w:val="00A0552F"/>
    <w:rsid w:val="00A219AA"/>
    <w:rsid w:val="00A25EBA"/>
    <w:rsid w:val="00A57B4D"/>
    <w:rsid w:val="00A6233D"/>
    <w:rsid w:val="00A651F1"/>
    <w:rsid w:val="00A77558"/>
    <w:rsid w:val="00A828F4"/>
    <w:rsid w:val="00A92149"/>
    <w:rsid w:val="00A9260F"/>
    <w:rsid w:val="00AB4F02"/>
    <w:rsid w:val="00AD71A3"/>
    <w:rsid w:val="00AE3253"/>
    <w:rsid w:val="00AE51C5"/>
    <w:rsid w:val="00B0338E"/>
    <w:rsid w:val="00B05EA3"/>
    <w:rsid w:val="00B12471"/>
    <w:rsid w:val="00B13E01"/>
    <w:rsid w:val="00B323AA"/>
    <w:rsid w:val="00B37677"/>
    <w:rsid w:val="00B40754"/>
    <w:rsid w:val="00B42D18"/>
    <w:rsid w:val="00B465F9"/>
    <w:rsid w:val="00B64C53"/>
    <w:rsid w:val="00BB4E1D"/>
    <w:rsid w:val="00BB6180"/>
    <w:rsid w:val="00BE3202"/>
    <w:rsid w:val="00BF44D7"/>
    <w:rsid w:val="00BF4F8F"/>
    <w:rsid w:val="00C14975"/>
    <w:rsid w:val="00C225E5"/>
    <w:rsid w:val="00C259BB"/>
    <w:rsid w:val="00C36175"/>
    <w:rsid w:val="00C814E0"/>
    <w:rsid w:val="00CA3A16"/>
    <w:rsid w:val="00CA471F"/>
    <w:rsid w:val="00CB0D42"/>
    <w:rsid w:val="00CC26A2"/>
    <w:rsid w:val="00CC46C2"/>
    <w:rsid w:val="00CF381B"/>
    <w:rsid w:val="00D118C1"/>
    <w:rsid w:val="00D14953"/>
    <w:rsid w:val="00D272E3"/>
    <w:rsid w:val="00D432BD"/>
    <w:rsid w:val="00D44590"/>
    <w:rsid w:val="00D56D2A"/>
    <w:rsid w:val="00D614E1"/>
    <w:rsid w:val="00D658C7"/>
    <w:rsid w:val="00D93D78"/>
    <w:rsid w:val="00DB7254"/>
    <w:rsid w:val="00DB737D"/>
    <w:rsid w:val="00DC695B"/>
    <w:rsid w:val="00DC6B81"/>
    <w:rsid w:val="00DE3CCF"/>
    <w:rsid w:val="00DE7CEC"/>
    <w:rsid w:val="00DF47DD"/>
    <w:rsid w:val="00E044DF"/>
    <w:rsid w:val="00E13A1B"/>
    <w:rsid w:val="00E25FAF"/>
    <w:rsid w:val="00E41F23"/>
    <w:rsid w:val="00E4354E"/>
    <w:rsid w:val="00E54E55"/>
    <w:rsid w:val="00E56E8A"/>
    <w:rsid w:val="00E635C4"/>
    <w:rsid w:val="00E63C13"/>
    <w:rsid w:val="00E82093"/>
    <w:rsid w:val="00E82738"/>
    <w:rsid w:val="00E97515"/>
    <w:rsid w:val="00E9783D"/>
    <w:rsid w:val="00EB3F2E"/>
    <w:rsid w:val="00EC5BA1"/>
    <w:rsid w:val="00ED044E"/>
    <w:rsid w:val="00EE2A7C"/>
    <w:rsid w:val="00EE30AD"/>
    <w:rsid w:val="00F00A69"/>
    <w:rsid w:val="00F10313"/>
    <w:rsid w:val="00F15ECA"/>
    <w:rsid w:val="00F1745B"/>
    <w:rsid w:val="00F233E1"/>
    <w:rsid w:val="00F246B2"/>
    <w:rsid w:val="00F52F25"/>
    <w:rsid w:val="00F54A0F"/>
    <w:rsid w:val="00F63C61"/>
    <w:rsid w:val="00F76376"/>
    <w:rsid w:val="00F86C9E"/>
    <w:rsid w:val="00F93D44"/>
    <w:rsid w:val="00FA0807"/>
    <w:rsid w:val="00FA089E"/>
    <w:rsid w:val="00FC32C1"/>
    <w:rsid w:val="00FD3D8A"/>
    <w:rsid w:val="00FD6808"/>
    <w:rsid w:val="00FD72AB"/>
    <w:rsid w:val="00FE0702"/>
    <w:rsid w:val="00FF15CE"/>
    <w:rsid w:val="00FF17E6"/>
    <w:rsid w:val="00FF2875"/>
    <w:rsid w:val="00FF7750"/>
    <w:rsid w:val="09E72DEC"/>
    <w:rsid w:val="0C3E140C"/>
    <w:rsid w:val="23390315"/>
    <w:rsid w:val="23A61737"/>
    <w:rsid w:val="2D8574AA"/>
    <w:rsid w:val="2DA2625B"/>
    <w:rsid w:val="2DC13B18"/>
    <w:rsid w:val="35EF12F0"/>
    <w:rsid w:val="363807E9"/>
    <w:rsid w:val="39AC4011"/>
    <w:rsid w:val="3A1D0B06"/>
    <w:rsid w:val="425E09E6"/>
    <w:rsid w:val="429F0CE3"/>
    <w:rsid w:val="444E5B09"/>
    <w:rsid w:val="4E4A0E58"/>
    <w:rsid w:val="4F380C73"/>
    <w:rsid w:val="50A6482B"/>
    <w:rsid w:val="50CD438F"/>
    <w:rsid w:val="524C511D"/>
    <w:rsid w:val="56DE710F"/>
    <w:rsid w:val="591503D9"/>
    <w:rsid w:val="59CA2416"/>
    <w:rsid w:val="5B34261D"/>
    <w:rsid w:val="63C3327E"/>
    <w:rsid w:val="64554B2B"/>
    <w:rsid w:val="732C1E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qFormat/>
    <w:uiPriority w:val="0"/>
    <w:rPr>
      <w:rFonts w:asciiTheme="minorHAnsi" w:hAnsiTheme="minorHAnsi" w:eastAsiaTheme="minorEastAsia" w:cstheme="minorBidi"/>
      <w:sz w:val="18"/>
      <w:szCs w:val="18"/>
    </w:rPr>
  </w:style>
  <w:style w:type="paragraph" w:styleId="3">
    <w:name w:val="footer"/>
    <w:basedOn w:val="1"/>
    <w:link w:val="13"/>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HTML Preformatted"/>
    <w:basedOn w:val="1"/>
    <w:link w:val="1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pPr>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unhideWhenUsed/>
    <w:qFormat/>
    <w:uiPriority w:val="99"/>
    <w:rPr>
      <w:color w:val="800080"/>
      <w:u w:val="single"/>
    </w:rPr>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页眉 Char"/>
    <w:basedOn w:val="9"/>
    <w:link w:val="4"/>
    <w:qFormat/>
    <w:uiPriority w:val="0"/>
    <w:rPr>
      <w:sz w:val="18"/>
      <w:szCs w:val="18"/>
    </w:rPr>
  </w:style>
  <w:style w:type="character" w:customStyle="1" w:styleId="13">
    <w:name w:val="页脚 Char"/>
    <w:basedOn w:val="9"/>
    <w:link w:val="3"/>
    <w:qFormat/>
    <w:uiPriority w:val="0"/>
    <w:rPr>
      <w:sz w:val="18"/>
      <w:szCs w:val="18"/>
    </w:rPr>
  </w:style>
  <w:style w:type="character" w:customStyle="1" w:styleId="14">
    <w:name w:val="批注框文本 Char"/>
    <w:link w:val="2"/>
    <w:qFormat/>
    <w:uiPriority w:val="0"/>
    <w:rPr>
      <w:sz w:val="18"/>
      <w:szCs w:val="18"/>
    </w:rPr>
  </w:style>
  <w:style w:type="character" w:customStyle="1" w:styleId="15">
    <w:name w:val="批注框文本 Char1"/>
    <w:basedOn w:val="9"/>
    <w:semiHidden/>
    <w:qFormat/>
    <w:uiPriority w:val="99"/>
    <w:rPr>
      <w:rFonts w:ascii="Times New Roman" w:hAnsi="Times New Roman" w:eastAsia="宋体" w:cs="Times New Roman"/>
      <w:sz w:val="18"/>
      <w:szCs w:val="18"/>
    </w:rPr>
  </w:style>
  <w:style w:type="paragraph" w:customStyle="1" w:styleId="16">
    <w:name w:val="需求正文_0"/>
    <w:basedOn w:val="1"/>
    <w:qFormat/>
    <w:uiPriority w:val="0"/>
    <w:pPr>
      <w:topLinePunct/>
      <w:ind w:firstLine="200"/>
    </w:pPr>
    <w:rPr>
      <w:kern w:val="20"/>
      <w:sz w:val="20"/>
      <w:szCs w:val="20"/>
    </w:rPr>
  </w:style>
  <w:style w:type="paragraph" w:customStyle="1" w:styleId="17">
    <w:name w:val="c"/>
    <w:basedOn w:val="1"/>
    <w:qFormat/>
    <w:uiPriority w:val="0"/>
    <w:pPr>
      <w:spacing w:line="380" w:lineRule="atLeast"/>
      <w:jc w:val="center"/>
    </w:pPr>
    <w:rPr>
      <w:color w:val="999999"/>
      <w:kern w:val="0"/>
      <w:sz w:val="14"/>
      <w:szCs w:val="14"/>
    </w:rPr>
  </w:style>
  <w:style w:type="character" w:customStyle="1" w:styleId="18">
    <w:name w:val="HTML 预设格式 Char"/>
    <w:basedOn w:val="9"/>
    <w:link w:val="5"/>
    <w:qFormat/>
    <w:uiPriority w:val="0"/>
    <w:rPr>
      <w:rFonts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231</Words>
  <Characters>1319</Characters>
  <Lines>10</Lines>
  <Paragraphs>3</Paragraphs>
  <TotalTime>1</TotalTime>
  <ScaleCrop>false</ScaleCrop>
  <LinksUpToDate>false</LinksUpToDate>
  <CharactersWithSpaces>1547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2020-01-14T11:54:00Z</dcterms:created>
  <dc:creator>undefined</dc:creator>
  <cp:lastModifiedBy>admin</cp:lastModifiedBy>
  <cp:lastPrinted>2020-01-16T04:09:00Z</cp:lastPrinted>
  <dcterms:modified xsi:type="dcterms:W3CDTF">2023-12-15T04:52:49Z</dcterms:modified>
  <dc:title>一、行政征收</dc:title>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14EE0992540143C1A563ADDD9AEA1EB3</vt:lpwstr>
  </property>
</Properties>
</file>