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p>
    <w:p>
      <w:pPr>
        <w:jc w:val="center"/>
        <w:rPr>
          <w:rFonts w:ascii="黑体" w:hAnsi="黑体" w:eastAsia="黑体"/>
          <w:sz w:val="36"/>
          <w:szCs w:val="36"/>
        </w:rPr>
      </w:pPr>
      <w:r>
        <w:rPr>
          <w:rFonts w:hint="eastAsia" w:ascii="宋体" w:hAnsi="宋体"/>
          <w:b/>
          <w:sz w:val="36"/>
          <w:szCs w:val="36"/>
        </w:rPr>
        <w:t>权责事项信息表</w:t>
      </w:r>
    </w:p>
    <w:p>
      <w:pPr>
        <w:jc w:val="center"/>
        <w:rPr>
          <w:rFonts w:ascii="黑体" w:hAnsi="黑体" w:eastAsia="黑体"/>
          <w:sz w:val="24"/>
        </w:rPr>
      </w:pP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90"/>
        <w:gridCol w:w="13"/>
        <w:gridCol w:w="992"/>
        <w:gridCol w:w="225"/>
        <w:gridCol w:w="768"/>
        <w:gridCol w:w="425"/>
        <w:gridCol w:w="67"/>
        <w:gridCol w:w="360"/>
        <w:gridCol w:w="1080"/>
        <w:gridCol w:w="360"/>
        <w:gridCol w:w="684"/>
        <w:gridCol w:w="186"/>
        <w:gridCol w:w="1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基本信息</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编    码</w:t>
            </w:r>
          </w:p>
        </w:tc>
        <w:tc>
          <w:tcPr>
            <w:tcW w:w="1217" w:type="dxa"/>
            <w:gridSpan w:val="2"/>
            <w:vAlign w:val="center"/>
          </w:tcPr>
          <w:p>
            <w:pPr>
              <w:spacing w:line="360" w:lineRule="exact"/>
              <w:jc w:val="center"/>
              <w:rPr>
                <w:rFonts w:ascii="仿宋_GB2312" w:hAnsi="黑体" w:eastAsia="仿宋_GB2312"/>
                <w:sz w:val="24"/>
              </w:rPr>
            </w:pPr>
            <w:r>
              <w:rPr>
                <w:rFonts w:hint="eastAsia" w:ascii="宋体" w:hAnsi="宋体" w:eastAsia="宋体" w:cs="宋体"/>
                <w:color w:val="000000"/>
                <w:sz w:val="24"/>
              </w:rPr>
              <w:t>1.28.</w:t>
            </w:r>
            <w:r>
              <w:rPr>
                <w:rFonts w:hint="eastAsia" w:ascii="宋体" w:hAnsi="宋体" w:cs="宋体"/>
                <w:color w:val="000000"/>
                <w:sz w:val="24"/>
                <w:lang w:val="en-US" w:eastAsia="zh-CN"/>
              </w:rPr>
              <w:t>9</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名    称</w:t>
            </w:r>
          </w:p>
        </w:tc>
        <w:tc>
          <w:tcPr>
            <w:tcW w:w="1507" w:type="dxa"/>
            <w:gridSpan w:val="3"/>
            <w:vAlign w:val="center"/>
          </w:tcPr>
          <w:p>
            <w:pPr>
              <w:spacing w:line="360" w:lineRule="exact"/>
              <w:jc w:val="left"/>
              <w:rPr>
                <w:rFonts w:ascii="仿宋_GB2312" w:hAnsi="黑体" w:eastAsia="仿宋_GB2312"/>
                <w:sz w:val="24"/>
              </w:rPr>
            </w:pPr>
            <w:r>
              <w:rPr>
                <w:rFonts w:hint="eastAsia" w:ascii="仿宋_GB2312" w:hAnsi="黑体" w:eastAsia="仿宋_GB2312"/>
                <w:sz w:val="24"/>
                <w:lang w:eastAsia="zh-CN"/>
              </w:rPr>
              <w:t>水土保持补偿费</w:t>
            </w:r>
            <w:r>
              <w:rPr>
                <w:rFonts w:hint="eastAsia" w:ascii="仿宋_GB2312" w:hAnsi="黑体" w:eastAsia="仿宋_GB2312"/>
                <w:sz w:val="24"/>
              </w:rPr>
              <w:t>征收</w:t>
            </w:r>
          </w:p>
        </w:tc>
        <w:tc>
          <w:tcPr>
            <w:tcW w:w="1230"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权力类型</w:t>
            </w:r>
          </w:p>
        </w:tc>
        <w:tc>
          <w:tcPr>
            <w:tcW w:w="1799" w:type="dxa"/>
            <w:vAlign w:val="center"/>
          </w:tcPr>
          <w:p>
            <w:pPr>
              <w:spacing w:line="360" w:lineRule="exact"/>
              <w:jc w:val="center"/>
              <w:rPr>
                <w:rFonts w:ascii="仿宋_GB2312" w:hAnsi="黑体" w:eastAsia="仿宋_GB2312"/>
                <w:sz w:val="24"/>
              </w:rPr>
            </w:pPr>
            <w:r>
              <w:rPr>
                <w:rFonts w:hint="eastAsia" w:ascii="仿宋_GB2312" w:hAnsi="黑体" w:eastAsia="仿宋_GB2312"/>
                <w:sz w:val="24"/>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设定依据</w:t>
            </w:r>
          </w:p>
        </w:tc>
        <w:tc>
          <w:tcPr>
            <w:tcW w:w="6946" w:type="dxa"/>
            <w:gridSpan w:val="11"/>
            <w:vAlign w:val="center"/>
          </w:tcPr>
          <w:p>
            <w:pPr>
              <w:jc w:val="left"/>
              <w:rPr>
                <w:rFonts w:hint="eastAsia" w:ascii="仿宋_GB2312" w:hAnsi="仿宋_GB2312" w:eastAsia="仿宋_GB2312" w:cs="仿宋_GB2312"/>
                <w:kern w:val="0"/>
                <w:sz w:val="24"/>
                <w:szCs w:val="24"/>
              </w:rPr>
            </w:pP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lang w:eastAsia="zh-CN"/>
              </w:rPr>
              <w:t>《中华人民共和国水土保持法</w:t>
            </w:r>
            <w:r>
              <w:rPr>
                <w:rFonts w:hint="eastAsia" w:ascii="仿宋_GB2312" w:hAnsi="仿宋_GB2312" w:eastAsia="仿宋_GB2312" w:cs="仿宋_GB2312"/>
                <w:kern w:val="0"/>
                <w:sz w:val="24"/>
                <w:szCs w:val="24"/>
                <w:lang w:eastAsia="zh-CN"/>
              </w:rPr>
              <w:t>》第三十二条。</w:t>
            </w:r>
          </w:p>
          <w:p>
            <w:pPr>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2.</w:t>
            </w:r>
            <w:r>
              <w:rPr>
                <w:rFonts w:hint="eastAsia" w:ascii="仿宋_GB2312" w:hAnsi="仿宋_GB2312" w:eastAsia="仿宋_GB2312" w:cs="仿宋_GB2312"/>
                <w:kern w:val="0"/>
                <w:sz w:val="24"/>
                <w:szCs w:val="24"/>
                <w:lang w:eastAsia="zh-CN"/>
              </w:rPr>
              <w:t>《水土保持补偿费征收使用管理办法》(财综</w:t>
            </w:r>
            <w:r>
              <w:rPr>
                <w:rFonts w:hint="eastAsia" w:ascii="仿宋_GB2312" w:hAnsi="仿宋_GB2312" w:eastAsia="仿宋_GB2312" w:cs="仿宋_GB2312"/>
                <w:kern w:val="0"/>
                <w:sz w:val="24"/>
                <w:szCs w:val="24"/>
              </w:rPr>
              <w:t>〔201</w:t>
            </w:r>
            <w:r>
              <w:rPr>
                <w:rFonts w:hint="eastAsia" w:ascii="仿宋_GB2312" w:hAnsi="仿宋_GB2312" w:eastAsia="仿宋_GB2312" w:cs="仿宋_GB2312"/>
                <w:kern w:val="0"/>
                <w:sz w:val="24"/>
                <w:szCs w:val="24"/>
                <w:lang w:val="en-US" w:eastAsia="zh-CN"/>
              </w:rPr>
              <w:t>4</w:t>
            </w:r>
            <w:r>
              <w:rPr>
                <w:rFonts w:hint="eastAsia" w:ascii="仿宋_GB2312" w:hAnsi="仿宋_GB2312" w:eastAsia="仿宋_GB2312" w:cs="仿宋_GB2312"/>
                <w:kern w:val="0"/>
                <w:sz w:val="24"/>
                <w:szCs w:val="24"/>
              </w:rPr>
              <w:t>〕</w:t>
            </w:r>
            <w:r>
              <w:rPr>
                <w:rFonts w:hint="eastAsia" w:ascii="仿宋_GB2312" w:hAnsi="仿宋_GB2312" w:eastAsia="仿宋_GB2312" w:cs="仿宋_GB2312"/>
                <w:kern w:val="0"/>
                <w:sz w:val="24"/>
                <w:szCs w:val="24"/>
                <w:lang w:eastAsia="zh-CN"/>
              </w:rPr>
              <w:t>8号)</w:t>
            </w:r>
            <w:bookmarkStart w:id="0" w:name="_Toc19985"/>
            <w:r>
              <w:rPr>
                <w:rFonts w:hint="eastAsia" w:ascii="仿宋_GB2312" w:hAnsi="仿宋_GB2312" w:eastAsia="仿宋_GB2312" w:cs="仿宋_GB2312"/>
                <w:kern w:val="0"/>
                <w:sz w:val="24"/>
                <w:szCs w:val="24"/>
                <w:lang w:eastAsia="zh-CN"/>
              </w:rPr>
              <w:t>第六条。</w:t>
            </w:r>
          </w:p>
          <w:p>
            <w:pPr>
              <w:jc w:val="left"/>
              <w:rPr>
                <w:rFonts w:hint="eastAsia" w:ascii="仿宋_GB2312" w:hAnsi="仿宋_GB2312" w:eastAsia="仿宋_GB2312" w:cs="仿宋_GB2312"/>
                <w:color w:val="000000"/>
                <w:sz w:val="24"/>
                <w:szCs w:val="24"/>
                <w:lang w:val="zh-CN"/>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color w:val="000000"/>
                <w:sz w:val="24"/>
                <w:szCs w:val="24"/>
              </w:rPr>
              <w:t>《新疆维吾尔自治区水土保持补偿费征收使用管理办法》</w:t>
            </w:r>
            <w:bookmarkEnd w:id="0"/>
            <w:r>
              <w:rPr>
                <w:rFonts w:hint="eastAsia" w:ascii="仿宋_GB2312" w:hAnsi="仿宋_GB2312" w:eastAsia="仿宋_GB2312" w:cs="仿宋_GB2312"/>
                <w:color w:val="000000"/>
                <w:sz w:val="24"/>
                <w:szCs w:val="24"/>
                <w:lang w:val="zh-CN"/>
              </w:rPr>
              <w:t>(新财非税〔20</w:t>
            </w:r>
            <w:r>
              <w:rPr>
                <w:rFonts w:hint="eastAsia" w:ascii="仿宋_GB2312" w:hAnsi="仿宋_GB2312" w:eastAsia="仿宋_GB2312" w:cs="仿宋_GB2312"/>
                <w:color w:val="000000"/>
                <w:sz w:val="24"/>
                <w:szCs w:val="24"/>
              </w:rPr>
              <w:t>15</w:t>
            </w:r>
            <w:r>
              <w:rPr>
                <w:rFonts w:hint="eastAsia" w:ascii="仿宋_GB2312" w:hAnsi="仿宋_GB2312" w:eastAsia="仿宋_GB2312" w:cs="仿宋_GB2312"/>
                <w:color w:val="000000"/>
                <w:sz w:val="24"/>
                <w:szCs w:val="24"/>
                <w:lang w:val="zh-CN"/>
              </w:rPr>
              <w:t>〕</w:t>
            </w:r>
            <w:r>
              <w:rPr>
                <w:rFonts w:hint="eastAsia" w:ascii="仿宋_GB2312" w:hAnsi="仿宋_GB2312" w:eastAsia="仿宋_GB2312" w:cs="仿宋_GB2312"/>
                <w:color w:val="000000"/>
                <w:sz w:val="24"/>
                <w:szCs w:val="24"/>
              </w:rPr>
              <w:t>10</w:t>
            </w:r>
            <w:r>
              <w:rPr>
                <w:rFonts w:hint="eastAsia" w:ascii="仿宋_GB2312" w:hAnsi="仿宋_GB2312" w:eastAsia="仿宋_GB2312" w:cs="仿宋_GB2312"/>
                <w:color w:val="000000"/>
                <w:sz w:val="24"/>
                <w:szCs w:val="24"/>
                <w:lang w:val="zh-CN"/>
              </w:rPr>
              <w:t>号印发)第六条。</w:t>
            </w:r>
          </w:p>
          <w:p>
            <w:pPr>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rPr>
              <w:t>.《政府非税收入管理办法》（财税〔2016〕33号</w:t>
            </w:r>
            <w:r>
              <w:rPr>
                <w:rFonts w:hint="eastAsia" w:ascii="仿宋_GB2312" w:hAnsi="仿宋_GB2312" w:eastAsia="仿宋_GB2312" w:cs="仿宋_GB2312"/>
                <w:color w:val="000000"/>
                <w:sz w:val="24"/>
                <w:lang w:eastAsia="zh-CN"/>
              </w:rPr>
              <w:t>印发</w:t>
            </w:r>
            <w:r>
              <w:rPr>
                <w:rFonts w:hint="eastAsia" w:ascii="仿宋_GB2312" w:hAnsi="仿宋_GB2312" w:eastAsia="仿宋_GB2312" w:cs="仿宋_GB2312"/>
                <w:color w:val="000000"/>
                <w:sz w:val="24"/>
              </w:rPr>
              <w:t>）第九条</w:t>
            </w:r>
            <w:r>
              <w:rPr>
                <w:rFonts w:hint="eastAsia" w:ascii="仿宋_GB2312" w:hAnsi="仿宋_GB2312" w:eastAsia="仿宋_GB2312" w:cs="仿宋_GB2312"/>
                <w:color w:val="000000"/>
                <w:sz w:val="24"/>
                <w:lang w:eastAsia="zh-CN"/>
              </w:rPr>
              <w:t>。</w:t>
            </w:r>
          </w:p>
          <w:p>
            <w:pPr>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5.</w:t>
            </w:r>
            <w:r>
              <w:rPr>
                <w:rFonts w:hint="eastAsia" w:ascii="仿宋_GB2312" w:hAnsi="仿宋_GB2312" w:eastAsia="仿宋_GB2312" w:cs="仿宋_GB2312"/>
                <w:color w:val="000000"/>
                <w:sz w:val="24"/>
              </w:rPr>
              <w:t>《财政部关于水土保持补偿费等四项非税收入划转税务部门征收的通知》（财税〔2020〕58号）</w:t>
            </w:r>
            <w:r>
              <w:rPr>
                <w:rFonts w:hint="eastAsia" w:ascii="仿宋_GB2312" w:hAnsi="仿宋_GB2312" w:eastAsia="仿宋_GB2312" w:cs="仿宋_GB2312"/>
                <w:color w:val="000000"/>
                <w:sz w:val="24"/>
                <w:lang w:eastAsia="zh-CN"/>
              </w:rPr>
              <w:t>第一条。</w:t>
            </w:r>
          </w:p>
          <w:p>
            <w:pPr>
              <w:jc w:val="left"/>
              <w:rPr>
                <w:rFonts w:ascii="仿宋_GB2312" w:hAnsi="黑体" w:eastAsia="仿宋_GB2312"/>
                <w:sz w:val="24"/>
              </w:rPr>
            </w:pPr>
            <w:r>
              <w:rPr>
                <w:rFonts w:hint="eastAsia" w:ascii="仿宋_GB2312" w:hAnsi="仿宋_GB2312" w:eastAsia="仿宋_GB2312" w:cs="仿宋_GB2312"/>
                <w:color w:val="000000"/>
                <w:sz w:val="24"/>
                <w:lang w:val="en-US" w:eastAsia="zh-CN"/>
              </w:rPr>
              <w:t>6</w:t>
            </w:r>
            <w:r>
              <w:rPr>
                <w:rFonts w:hint="eastAsia" w:ascii="仿宋_GB2312" w:hAnsi="仿宋_GB2312" w:eastAsia="仿宋_GB2312" w:cs="仿宋_GB2312"/>
                <w:color w:val="000000"/>
                <w:sz w:val="24"/>
              </w:rPr>
              <w:t>.《国家税务总局关于水土保持补偿费等政府非税收入项目征管职责划转有关事项的公告》（国家税务总局公告 2020年第21号）</w:t>
            </w:r>
            <w:r>
              <w:rPr>
                <w:rFonts w:hint="eastAsia" w:ascii="仿宋_GB2312" w:hAnsi="仿宋_GB2312" w:eastAsia="仿宋_GB2312" w:cs="仿宋_GB2312"/>
                <w:color w:val="000000"/>
                <w:sz w:val="24"/>
                <w:lang w:eastAsia="zh-CN"/>
              </w:rPr>
              <w:t>第一条。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适用对象</w:t>
            </w:r>
          </w:p>
          <w:p>
            <w:pPr>
              <w:spacing w:line="360" w:lineRule="exact"/>
              <w:jc w:val="center"/>
              <w:rPr>
                <w:rFonts w:ascii="仿宋_GB2312" w:hAnsi="黑体" w:eastAsia="仿宋_GB2312"/>
                <w:b/>
                <w:sz w:val="24"/>
              </w:rPr>
            </w:pPr>
            <w:r>
              <w:rPr>
                <w:rFonts w:hint="eastAsia" w:ascii="仿宋_GB2312" w:hAnsi="黑体" w:eastAsia="仿宋_GB2312"/>
                <w:b/>
                <w:sz w:val="24"/>
              </w:rPr>
              <w:t>（可多选）</w:t>
            </w:r>
          </w:p>
        </w:tc>
        <w:tc>
          <w:tcPr>
            <w:tcW w:w="1217" w:type="dxa"/>
            <w:gridSpan w:val="2"/>
            <w:vAlign w:val="center"/>
          </w:tcPr>
          <w:p>
            <w:pPr>
              <w:spacing w:line="360" w:lineRule="exact"/>
              <w:jc w:val="center"/>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rPr>
              <w:t xml:space="preserve"> 单位</w:t>
            </w:r>
          </w:p>
          <w:p>
            <w:pPr>
              <w:spacing w:line="360" w:lineRule="exact"/>
              <w:jc w:val="center"/>
              <w:rPr>
                <w:rFonts w:ascii="仿宋_GB2312" w:hAnsi="黑体" w:eastAsia="仿宋_GB2312"/>
                <w:szCs w:val="21"/>
              </w:rPr>
            </w:pPr>
            <w:r>
              <w:rPr>
                <w:rFonts w:hint="eastAsia" w:ascii="仿宋_GB2312" w:hAnsi="黑体" w:eastAsia="仿宋_GB2312"/>
                <w:sz w:val="24"/>
              </w:rPr>
              <w:sym w:font="Wingdings 2" w:char="0052"/>
            </w:r>
            <w:r>
              <w:rPr>
                <w:rFonts w:hint="eastAsia" w:ascii="仿宋_GB2312" w:hAnsi="黑体" w:eastAsia="仿宋_GB2312"/>
                <w:sz w:val="24"/>
              </w:rPr>
              <w:t xml:space="preserve"> 个人</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启动类型</w:t>
            </w:r>
          </w:p>
        </w:tc>
        <w:tc>
          <w:tcPr>
            <w:tcW w:w="1507" w:type="dxa"/>
            <w:gridSpan w:val="3"/>
            <w:vAlign w:val="center"/>
          </w:tcPr>
          <w:p>
            <w:pPr>
              <w:jc w:val="center"/>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rPr>
              <w:t xml:space="preserve"> 依职权</w:t>
            </w:r>
          </w:p>
          <w:p>
            <w:pPr>
              <w:spacing w:line="360" w:lineRule="exact"/>
              <w:jc w:val="center"/>
              <w:rPr>
                <w:rFonts w:ascii="仿宋_GB2312" w:hAnsi="黑体" w:eastAsia="仿宋_GB2312"/>
                <w:sz w:val="24"/>
              </w:rPr>
            </w:pPr>
            <w:r>
              <w:rPr>
                <w:rFonts w:hint="eastAsia" w:ascii="仿宋_GB2312" w:hAnsi="黑体" w:eastAsia="仿宋_GB2312"/>
                <w:sz w:val="24"/>
              </w:rPr>
              <w:sym w:font="Wingdings 2" w:char="00A3"/>
            </w:r>
            <w:r>
              <w:rPr>
                <w:rFonts w:hint="eastAsia" w:ascii="仿宋_GB2312" w:hAnsi="黑体" w:eastAsia="仿宋_GB2312"/>
                <w:sz w:val="24"/>
              </w:rPr>
              <w:t xml:space="preserve"> 依申请</w:t>
            </w:r>
          </w:p>
        </w:tc>
        <w:tc>
          <w:tcPr>
            <w:tcW w:w="1230"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数量规定</w:t>
            </w:r>
          </w:p>
        </w:tc>
        <w:tc>
          <w:tcPr>
            <w:tcW w:w="1799" w:type="dxa"/>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收费规定</w:t>
            </w:r>
          </w:p>
        </w:tc>
        <w:tc>
          <w:tcPr>
            <w:tcW w:w="2410"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507"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网上办理</w:t>
            </w:r>
          </w:p>
        </w:tc>
        <w:tc>
          <w:tcPr>
            <w:tcW w:w="3029" w:type="dxa"/>
            <w:gridSpan w:val="4"/>
            <w:vAlign w:val="center"/>
          </w:tcPr>
          <w:p>
            <w:pPr>
              <w:spacing w:line="360" w:lineRule="exact"/>
              <w:jc w:val="center"/>
              <w:rPr>
                <w:rFonts w:ascii="仿宋_GB2312" w:hAnsi="黑体" w:eastAsia="仿宋_GB2312"/>
                <w:sz w:val="36"/>
              </w:rPr>
            </w:pPr>
            <w:r>
              <w:rPr>
                <w:rFonts w:hint="eastAsia" w:ascii="宋体" w:hAnsi="宋体" w:eastAsia="仿宋_GB2312" w:cs="宋体"/>
                <w:sz w:val="24"/>
                <w:lang w:eastAsia="zh-CN"/>
              </w:rPr>
              <w:t>新疆电子税务局</w:t>
            </w:r>
            <w:r>
              <w:rPr>
                <w:rFonts w:hint="eastAsia" w:ascii="宋体" w:hAnsi="宋体" w:eastAsia="仿宋_GB2312" w:cs="宋体"/>
                <w:sz w:val="24"/>
                <w:lang w:val="en-US" w:eastAsia="zh-CN"/>
              </w:rPr>
              <w:t>https://etax.xinjiang.chinatax.gov.cn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通办类型</w:t>
            </w:r>
          </w:p>
        </w:tc>
        <w:tc>
          <w:tcPr>
            <w:tcW w:w="2410" w:type="dxa"/>
            <w:gridSpan w:val="4"/>
            <w:vAlign w:val="center"/>
          </w:tcPr>
          <w:p>
            <w:pPr>
              <w:spacing w:line="360" w:lineRule="exact"/>
              <w:jc w:val="center"/>
              <w:rPr>
                <w:rFonts w:ascii="仿宋_GB2312" w:hAnsi="黑体" w:eastAsia="仿宋_GB2312"/>
                <w:sz w:val="24"/>
              </w:rPr>
            </w:pPr>
            <w:r>
              <w:rPr>
                <w:rFonts w:hint="eastAsia" w:ascii="仿宋_GB2312" w:hAnsi="黑体" w:eastAsia="仿宋_GB2312"/>
                <w:sz w:val="24"/>
              </w:rPr>
              <w:sym w:font="Wingdings 2" w:char="00A3"/>
            </w:r>
            <w:r>
              <w:rPr>
                <w:rFonts w:hint="eastAsia" w:ascii="仿宋_GB2312" w:hAnsi="黑体" w:eastAsia="仿宋_GB2312"/>
                <w:sz w:val="24"/>
              </w:rPr>
              <w:t xml:space="preserve"> 全国通办</w:t>
            </w:r>
          </w:p>
          <w:p>
            <w:pPr>
              <w:spacing w:line="360" w:lineRule="exact"/>
              <w:jc w:val="center"/>
              <w:rPr>
                <w:rFonts w:ascii="仿宋_GB2312" w:hAnsi="黑体" w:eastAsia="仿宋_GB2312"/>
                <w:sz w:val="24"/>
              </w:rPr>
            </w:pPr>
            <w:r>
              <w:rPr>
                <w:rFonts w:hint="eastAsia" w:ascii="仿宋_GB2312" w:hAnsi="黑体" w:eastAsia="仿宋_GB2312"/>
                <w:sz w:val="24"/>
              </w:rPr>
              <w:sym w:font="Wingdings 2" w:char="00A3"/>
            </w:r>
            <w:r>
              <w:rPr>
                <w:rFonts w:hint="eastAsia" w:ascii="仿宋_GB2312" w:hAnsi="黑体" w:eastAsia="仿宋_GB2312"/>
                <w:sz w:val="24"/>
              </w:rPr>
              <w:t xml:space="preserve"> 全省通办</w:t>
            </w:r>
          </w:p>
          <w:p>
            <w:pPr>
              <w:spacing w:line="360" w:lineRule="exact"/>
              <w:jc w:val="center"/>
              <w:rPr>
                <w:rFonts w:ascii="仿宋_GB2312" w:hAnsi="黑体" w:eastAsia="仿宋_GB2312"/>
                <w:sz w:val="24"/>
              </w:rPr>
            </w:pPr>
            <w:r>
              <w:rPr>
                <w:rFonts w:hint="eastAsia" w:ascii="仿宋_GB2312" w:hAnsi="黑体" w:eastAsia="仿宋_GB2312"/>
                <w:sz w:val="24"/>
              </w:rPr>
              <w:sym w:font="Wingdings 2" w:char="00A3"/>
            </w:r>
            <w:r>
              <w:rPr>
                <w:rFonts w:hint="eastAsia" w:ascii="仿宋_GB2312" w:hAnsi="黑体" w:eastAsia="仿宋_GB2312"/>
                <w:sz w:val="24"/>
              </w:rPr>
              <w:t xml:space="preserve"> 全市通办</w:t>
            </w:r>
          </w:p>
          <w:p>
            <w:pPr>
              <w:spacing w:line="360" w:lineRule="exact"/>
              <w:jc w:val="center"/>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rPr>
              <w:t xml:space="preserve"> 属地办理</w:t>
            </w:r>
          </w:p>
        </w:tc>
        <w:tc>
          <w:tcPr>
            <w:tcW w:w="1507"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办理方式（可多选）</w:t>
            </w:r>
          </w:p>
        </w:tc>
        <w:tc>
          <w:tcPr>
            <w:tcW w:w="3029" w:type="dxa"/>
            <w:gridSpan w:val="4"/>
            <w:vAlign w:val="center"/>
          </w:tcPr>
          <w:p>
            <w:pPr>
              <w:spacing w:line="360" w:lineRule="exact"/>
              <w:ind w:firstLine="480" w:firstLineChars="200"/>
              <w:jc w:val="left"/>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lang w:val="en-US" w:eastAsia="zh-CN"/>
              </w:rPr>
              <w:t xml:space="preserve"> </w:t>
            </w:r>
            <w:r>
              <w:rPr>
                <w:rFonts w:hint="eastAsia" w:ascii="仿宋_GB2312" w:hAnsi="黑体" w:eastAsia="仿宋_GB2312"/>
                <w:sz w:val="24"/>
              </w:rPr>
              <w:t>即办</w:t>
            </w:r>
          </w:p>
          <w:p>
            <w:pPr>
              <w:spacing w:line="360" w:lineRule="exact"/>
              <w:ind w:firstLine="480" w:firstLineChars="200"/>
              <w:jc w:val="left"/>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rPr>
              <w:t xml:space="preserve"> 预约办理</w:t>
            </w:r>
          </w:p>
          <w:p>
            <w:pPr>
              <w:spacing w:line="360" w:lineRule="exact"/>
              <w:ind w:firstLine="480" w:firstLineChars="200"/>
              <w:jc w:val="left"/>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rPr>
              <w:t xml:space="preserve"> 延时办理</w:t>
            </w:r>
          </w:p>
          <w:p>
            <w:pPr>
              <w:spacing w:line="360" w:lineRule="exact"/>
              <w:ind w:firstLine="480" w:firstLineChars="200"/>
              <w:jc w:val="left"/>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rPr>
              <w:t xml:space="preserve"> 网上办理</w:t>
            </w:r>
          </w:p>
          <w:p>
            <w:pPr>
              <w:spacing w:line="360" w:lineRule="exact"/>
              <w:ind w:firstLine="480" w:firstLineChars="200"/>
              <w:jc w:val="both"/>
              <w:rPr>
                <w:rFonts w:ascii="仿宋_GB2312" w:hAnsi="黑体" w:eastAsia="仿宋_GB2312"/>
                <w:sz w:val="24"/>
              </w:rPr>
            </w:pPr>
            <w:r>
              <w:rPr>
                <w:rFonts w:hint="eastAsia" w:ascii="仿宋_GB2312" w:hAnsi="黑体" w:eastAsia="仿宋_GB2312"/>
                <w:sz w:val="24"/>
              </w:rPr>
              <w:sym w:font="Wingdings 2" w:char="0052"/>
            </w:r>
            <w:r>
              <w:rPr>
                <w:rFonts w:hint="eastAsia" w:ascii="仿宋_GB2312" w:hAnsi="黑体" w:eastAsia="仿宋_GB2312"/>
                <w:sz w:val="24"/>
              </w:rPr>
              <w:t xml:space="preserve"> 最多跑一次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trPr>
        <w:tc>
          <w:tcPr>
            <w:tcW w:w="648" w:type="dxa"/>
            <w:vMerge w:val="restart"/>
            <w:vAlign w:val="center"/>
          </w:tcPr>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r>
              <w:rPr>
                <w:rFonts w:hint="eastAsia" w:ascii="宋体" w:hAnsi="宋体"/>
                <w:b/>
                <w:sz w:val="28"/>
                <w:szCs w:val="28"/>
              </w:rPr>
              <w:t>办理信息</w:t>
            </w: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r>
              <w:rPr>
                <w:rFonts w:hint="eastAsia" w:ascii="宋体" w:hAnsi="宋体"/>
                <w:b/>
                <w:sz w:val="28"/>
                <w:szCs w:val="28"/>
              </w:rPr>
              <w:t>办理信息</w:t>
            </w:r>
          </w:p>
          <w:p>
            <w:pPr>
              <w:spacing w:line="360" w:lineRule="exact"/>
              <w:jc w:val="center"/>
              <w:rPr>
                <w:rFonts w:ascii="宋体" w:hAnsi="宋体"/>
                <w:b/>
                <w:sz w:val="28"/>
                <w:szCs w:val="28"/>
              </w:rPr>
            </w:pPr>
          </w:p>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受理部门</w:t>
            </w:r>
          </w:p>
        </w:tc>
        <w:tc>
          <w:tcPr>
            <w:tcW w:w="2410" w:type="dxa"/>
            <w:gridSpan w:val="4"/>
            <w:vAlign w:val="center"/>
          </w:tcPr>
          <w:p>
            <w:pPr>
              <w:spacing w:line="360" w:lineRule="exact"/>
              <w:jc w:val="center"/>
              <w:rPr>
                <w:rFonts w:ascii="仿宋_GB2312" w:hAnsi="黑体" w:eastAsia="仿宋_GB2312"/>
                <w:b/>
                <w:sz w:val="24"/>
              </w:rPr>
            </w:pPr>
            <w:r>
              <w:rPr>
                <w:rFonts w:hint="default" w:ascii="Wingdings 2" w:hAnsi="Wingdings 2" w:eastAsia="仿宋_GB2312" w:cs="Wingdings 2"/>
                <w:sz w:val="24"/>
              </w:rPr>
              <w:t>——</w:t>
            </w:r>
          </w:p>
        </w:tc>
        <w:tc>
          <w:tcPr>
            <w:tcW w:w="1507" w:type="dxa"/>
            <w:gridSpan w:val="3"/>
            <w:vAlign w:val="center"/>
          </w:tcPr>
          <w:p>
            <w:pPr>
              <w:spacing w:line="360" w:lineRule="exact"/>
              <w:jc w:val="center"/>
              <w:rPr>
                <w:rFonts w:ascii="仿宋_GB2312" w:eastAsia="仿宋_GB2312"/>
                <w:sz w:val="18"/>
                <w:szCs w:val="18"/>
              </w:rPr>
            </w:pPr>
            <w:r>
              <w:rPr>
                <w:rFonts w:hint="eastAsia" w:ascii="仿宋_GB2312" w:hAnsi="黑体" w:eastAsia="仿宋_GB2312"/>
                <w:b/>
                <w:sz w:val="24"/>
              </w:rPr>
              <w:t>地址</w:t>
            </w:r>
          </w:p>
        </w:tc>
        <w:tc>
          <w:tcPr>
            <w:tcW w:w="3029" w:type="dxa"/>
            <w:gridSpan w:val="4"/>
            <w:vAlign w:val="center"/>
          </w:tcPr>
          <w:p>
            <w:pPr>
              <w:spacing w:line="360" w:lineRule="exact"/>
              <w:jc w:val="center"/>
              <w:rPr>
                <w:rFonts w:ascii="仿宋_GB2312" w:eastAsia="仿宋_GB2312"/>
                <w:sz w:val="18"/>
                <w:szCs w:val="18"/>
                <w:lang w:val="en-US"/>
              </w:rPr>
            </w:pPr>
            <w:r>
              <w:rPr>
                <w:rFonts w:hint="default" w:ascii="Wingdings 2" w:hAnsi="Wingdings 2" w:eastAsia="仿宋_GB2312" w:cs="Wingdings 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实施机关</w:t>
            </w:r>
          </w:p>
        </w:tc>
        <w:tc>
          <w:tcPr>
            <w:tcW w:w="1217" w:type="dxa"/>
            <w:gridSpan w:val="2"/>
            <w:vAlign w:val="center"/>
          </w:tcPr>
          <w:p>
            <w:pPr>
              <w:spacing w:line="360" w:lineRule="exact"/>
              <w:jc w:val="left"/>
              <w:rPr>
                <w:rFonts w:ascii="仿宋_GB2312" w:hAnsi="黑体" w:eastAsia="仿宋_GB2312"/>
                <w:sz w:val="24"/>
              </w:rPr>
            </w:pPr>
            <w:r>
              <w:rPr>
                <w:rFonts w:ascii="仿宋_GB2312" w:hAnsi="黑体" w:eastAsia="仿宋_GB2312"/>
                <w:sz w:val="24"/>
              </w:rPr>
              <w:t>国家税务总局乌恰县税务局</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管辖范围</w:t>
            </w:r>
          </w:p>
        </w:tc>
        <w:tc>
          <w:tcPr>
            <w:tcW w:w="1507" w:type="dxa"/>
            <w:gridSpan w:val="3"/>
            <w:vAlign w:val="center"/>
          </w:tcPr>
          <w:p>
            <w:pPr>
              <w:spacing w:line="360" w:lineRule="exact"/>
              <w:jc w:val="left"/>
              <w:rPr>
                <w:rFonts w:ascii="仿宋_GB2312" w:hAnsi="黑体" w:eastAsia="仿宋_GB2312"/>
                <w:sz w:val="24"/>
              </w:rPr>
            </w:pPr>
            <w:r>
              <w:rPr>
                <w:rFonts w:ascii="仿宋_GB2312" w:hAnsi="黑体" w:eastAsia="仿宋_GB2312"/>
                <w:sz w:val="24"/>
              </w:rPr>
              <w:t>新疆维吾尔自治区克孜勒苏柯尔克孜自治州乌恰县</w:t>
            </w:r>
          </w:p>
        </w:tc>
        <w:tc>
          <w:tcPr>
            <w:tcW w:w="1044"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w:t>
            </w:r>
          </w:p>
        </w:tc>
        <w:tc>
          <w:tcPr>
            <w:tcW w:w="1985" w:type="dxa"/>
            <w:gridSpan w:val="2"/>
            <w:vAlign w:val="center"/>
          </w:tcPr>
          <w:p>
            <w:pPr>
              <w:spacing w:line="360" w:lineRule="exact"/>
              <w:jc w:val="left"/>
              <w:rPr>
                <w:rFonts w:ascii="仿宋_GB2312" w:eastAsia="仿宋_GB2312"/>
                <w:sz w:val="18"/>
                <w:szCs w:val="18"/>
              </w:rPr>
            </w:pPr>
            <w:r>
              <w:rPr>
                <w:rFonts w:ascii="仿宋_GB2312" w:hAnsi="黑体" w:eastAsia="仿宋_GB2312"/>
                <w:sz w:val="24"/>
              </w:rPr>
              <w:t>新疆维吾尔自治区克孜勒苏柯尔克孜自治州乌恰县平安路21号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适用条件</w:t>
            </w:r>
          </w:p>
        </w:tc>
        <w:tc>
          <w:tcPr>
            <w:tcW w:w="6946" w:type="dxa"/>
            <w:gridSpan w:val="11"/>
            <w:vAlign w:val="center"/>
          </w:tcPr>
          <w:p>
            <w:pPr>
              <w:numPr>
                <w:ilvl w:val="0"/>
                <w:numId w:val="0"/>
              </w:numPr>
              <w:spacing w:line="360" w:lineRule="auto"/>
              <w:jc w:val="both"/>
              <w:rPr>
                <w:rFonts w:ascii="仿宋_GB2312" w:eastAsia="仿宋_GB2312"/>
                <w:sz w:val="24"/>
              </w:rPr>
            </w:pPr>
            <w:r>
              <w:rPr>
                <w:rFonts w:hint="eastAsia" w:ascii="仿宋_GB2312" w:hAnsi="仿宋_GB2312" w:eastAsia="仿宋_GB2312" w:cs="仿宋_GB2312"/>
                <w:szCs w:val="32"/>
                <w:lang w:val="en-US" w:eastAsia="zh-CN"/>
              </w:rPr>
              <w:t>在山区、丘陵区、风沙区以及</w:t>
            </w:r>
            <w:r>
              <w:rPr>
                <w:rFonts w:hint="eastAsia" w:ascii="仿宋_GB2312" w:hAnsi="仿宋_GB2312" w:eastAsia="仿宋_GB2312" w:cs="仿宋_GB2312"/>
                <w:szCs w:val="32"/>
                <w:lang w:val="en-US" w:eastAsia="zh-CN"/>
              </w:rPr>
              <w:fldChar w:fldCharType="begin"/>
            </w:r>
            <w:r>
              <w:rPr>
                <w:rFonts w:hint="eastAsia" w:ascii="仿宋_GB2312" w:hAnsi="仿宋_GB2312" w:eastAsia="仿宋_GB2312" w:cs="仿宋_GB2312"/>
                <w:szCs w:val="32"/>
                <w:lang w:val="en-US" w:eastAsia="zh-CN"/>
              </w:rPr>
              <w:instrText xml:space="preserve"> HYPERLINK "https://baike.so.com/doc/7884151-8158246.html" \t "_blank" </w:instrText>
            </w:r>
            <w:r>
              <w:rPr>
                <w:rFonts w:hint="eastAsia" w:ascii="仿宋_GB2312" w:hAnsi="仿宋_GB2312" w:eastAsia="仿宋_GB2312" w:cs="仿宋_GB2312"/>
                <w:szCs w:val="32"/>
                <w:lang w:val="en-US" w:eastAsia="zh-CN"/>
              </w:rPr>
              <w:fldChar w:fldCharType="separate"/>
            </w:r>
            <w:r>
              <w:rPr>
                <w:rFonts w:hint="eastAsia" w:ascii="仿宋_GB2312" w:hAnsi="仿宋_GB2312" w:eastAsia="仿宋_GB2312" w:cs="仿宋_GB2312"/>
                <w:szCs w:val="32"/>
                <w:lang w:val="en-US" w:eastAsia="zh-CN"/>
              </w:rPr>
              <w:t>水土保持规划</w:t>
            </w:r>
            <w:r>
              <w:rPr>
                <w:rFonts w:hint="eastAsia" w:ascii="仿宋_GB2312" w:hAnsi="仿宋_GB2312" w:eastAsia="仿宋_GB2312" w:cs="仿宋_GB2312"/>
                <w:szCs w:val="32"/>
                <w:lang w:val="en-US" w:eastAsia="zh-CN"/>
              </w:rPr>
              <w:fldChar w:fldCharType="end"/>
            </w:r>
            <w:r>
              <w:rPr>
                <w:rFonts w:hint="eastAsia" w:ascii="仿宋_GB2312" w:hAnsi="仿宋_GB2312" w:eastAsia="仿宋_GB2312" w:cs="仿宋_GB2312"/>
                <w:szCs w:val="32"/>
                <w:lang w:val="en-US" w:eastAsia="zh-CN"/>
              </w:rPr>
              <w:t>确定的容易发生</w:t>
            </w:r>
            <w:r>
              <w:rPr>
                <w:rFonts w:hint="eastAsia" w:ascii="仿宋_GB2312" w:hAnsi="仿宋_GB2312" w:eastAsia="仿宋_GB2312" w:cs="仿宋_GB2312"/>
                <w:szCs w:val="32"/>
                <w:lang w:val="en-US" w:eastAsia="zh-CN"/>
              </w:rPr>
              <w:fldChar w:fldCharType="begin"/>
            </w:r>
            <w:r>
              <w:rPr>
                <w:rFonts w:hint="eastAsia" w:ascii="仿宋_GB2312" w:hAnsi="仿宋_GB2312" w:eastAsia="仿宋_GB2312" w:cs="仿宋_GB2312"/>
                <w:szCs w:val="32"/>
                <w:lang w:val="en-US" w:eastAsia="zh-CN"/>
              </w:rPr>
              <w:instrText xml:space="preserve"> HYPERLINK "https://baike.so.com/doc/905337-956930.html" \t "_blank" </w:instrText>
            </w:r>
            <w:r>
              <w:rPr>
                <w:rFonts w:hint="eastAsia" w:ascii="仿宋_GB2312" w:hAnsi="仿宋_GB2312" w:eastAsia="仿宋_GB2312" w:cs="仿宋_GB2312"/>
                <w:szCs w:val="32"/>
                <w:lang w:val="en-US" w:eastAsia="zh-CN"/>
              </w:rPr>
              <w:fldChar w:fldCharType="separate"/>
            </w:r>
            <w:r>
              <w:rPr>
                <w:rFonts w:hint="eastAsia" w:ascii="仿宋_GB2312" w:hAnsi="仿宋_GB2312" w:eastAsia="仿宋_GB2312" w:cs="仿宋_GB2312"/>
                <w:szCs w:val="32"/>
                <w:lang w:val="en-US" w:eastAsia="zh-CN"/>
              </w:rPr>
              <w:t>水土流失</w:t>
            </w:r>
            <w:r>
              <w:rPr>
                <w:rFonts w:hint="eastAsia" w:ascii="仿宋_GB2312" w:hAnsi="仿宋_GB2312" w:eastAsia="仿宋_GB2312" w:cs="仿宋_GB2312"/>
                <w:szCs w:val="32"/>
                <w:lang w:val="en-US" w:eastAsia="zh-CN"/>
              </w:rPr>
              <w:fldChar w:fldCharType="end"/>
            </w:r>
            <w:r>
              <w:rPr>
                <w:rFonts w:hint="eastAsia" w:ascii="仿宋_GB2312" w:hAnsi="仿宋_GB2312" w:eastAsia="仿宋_GB2312" w:cs="仿宋_GB2312"/>
                <w:szCs w:val="32"/>
                <w:lang w:val="en-US" w:eastAsia="zh-CN"/>
              </w:rPr>
              <w:t>的其他区域开办生产建设项目或者从事其他生产建设活动，损坏水土保持设施、地貌植被，不能恢复原有水土保持功能的单位和个人，应当依法缴纳</w:t>
            </w:r>
            <w:r>
              <w:rPr>
                <w:rFonts w:hint="eastAsia" w:ascii="仿宋_GB2312" w:hAnsi="仿宋_GB2312" w:eastAsia="仿宋_GB2312" w:cs="仿宋_GB2312"/>
                <w:szCs w:val="32"/>
                <w:lang w:val="en-US" w:eastAsia="zh-CN"/>
              </w:rPr>
              <w:fldChar w:fldCharType="begin"/>
            </w:r>
            <w:r>
              <w:rPr>
                <w:rFonts w:hint="eastAsia" w:ascii="仿宋_GB2312" w:hAnsi="仿宋_GB2312" w:eastAsia="仿宋_GB2312" w:cs="仿宋_GB2312"/>
                <w:szCs w:val="32"/>
                <w:lang w:val="en-US" w:eastAsia="zh-CN"/>
              </w:rPr>
              <w:instrText xml:space="preserve"> HYPERLINK "https://baike.so.com/doc/6938747-7161106.html" \t "_blank" </w:instrText>
            </w:r>
            <w:r>
              <w:rPr>
                <w:rFonts w:hint="eastAsia" w:ascii="仿宋_GB2312" w:hAnsi="仿宋_GB2312" w:eastAsia="仿宋_GB2312" w:cs="仿宋_GB2312"/>
                <w:szCs w:val="32"/>
                <w:lang w:val="en-US" w:eastAsia="zh-CN"/>
              </w:rPr>
              <w:fldChar w:fldCharType="separate"/>
            </w:r>
            <w:r>
              <w:rPr>
                <w:rFonts w:hint="eastAsia" w:ascii="仿宋_GB2312" w:hAnsi="仿宋_GB2312" w:eastAsia="仿宋_GB2312" w:cs="仿宋_GB2312"/>
                <w:szCs w:val="32"/>
                <w:lang w:val="en-US" w:eastAsia="zh-CN"/>
              </w:rPr>
              <w:t>水土保持补偿费</w:t>
            </w:r>
            <w:r>
              <w:rPr>
                <w:rFonts w:hint="eastAsia" w:ascii="仿宋_GB2312" w:hAnsi="仿宋_GB2312" w:eastAsia="仿宋_GB2312" w:cs="仿宋_GB2312"/>
                <w:szCs w:val="32"/>
                <w:lang w:val="en-US" w:eastAsia="zh-CN"/>
              </w:rPr>
              <w:fldChar w:fldCharType="end"/>
            </w:r>
            <w:r>
              <w:rPr>
                <w:rFonts w:hint="eastAsia" w:ascii="仿宋_GB2312" w:hAnsi="仿宋_GB2312" w:eastAsia="仿宋_GB2312" w:cs="仿宋_GB231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裁量标准</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提交材料</w:t>
            </w:r>
          </w:p>
        </w:tc>
        <w:tc>
          <w:tcPr>
            <w:tcW w:w="6946" w:type="dxa"/>
            <w:gridSpan w:val="11"/>
            <w:vAlign w:val="center"/>
          </w:tcPr>
          <w:p>
            <w:pPr>
              <w:spacing w:line="360" w:lineRule="exact"/>
              <w:jc w:val="left"/>
              <w:rPr>
                <w:rFonts w:hint="eastAsia" w:ascii="仿宋_GB2312" w:hAnsi="黑体" w:eastAsia="仿宋_GB2312" w:cs="Times New Roman"/>
                <w:sz w:val="24"/>
                <w:lang w:val="en-US" w:eastAsia="zh-CN"/>
              </w:rPr>
            </w:pPr>
            <w:r>
              <w:rPr>
                <w:rFonts w:hint="eastAsia" w:ascii="仿宋_GB2312" w:hAnsi="黑体" w:eastAsia="仿宋_GB2312" w:cs="Times New Roman"/>
                <w:sz w:val="24"/>
                <w:lang w:val="en-US" w:eastAsia="zh-CN"/>
              </w:rPr>
              <w:t>1.缴费人身份证或其他有效身份证明；</w:t>
            </w:r>
          </w:p>
          <w:p>
            <w:pPr>
              <w:spacing w:line="360" w:lineRule="exact"/>
              <w:jc w:val="left"/>
              <w:rPr>
                <w:rFonts w:hint="eastAsia" w:ascii="仿宋_GB2312" w:hAnsi="黑体" w:eastAsia="仿宋_GB2312" w:cs="Times New Roman"/>
                <w:sz w:val="24"/>
                <w:lang w:val="en-US" w:eastAsia="zh-CN"/>
              </w:rPr>
            </w:pPr>
            <w:r>
              <w:rPr>
                <w:rFonts w:hint="eastAsia" w:ascii="仿宋_GB2312" w:hAnsi="黑体" w:eastAsia="仿宋_GB2312" w:cs="Times New Roman"/>
                <w:sz w:val="24"/>
                <w:lang w:val="en-US" w:eastAsia="zh-CN"/>
              </w:rPr>
              <w:t>2.个体、企业需携带营业执照原件或复印件，行政机关、事业单位需携带统一社会信用代码证书原件或复印件；</w:t>
            </w:r>
          </w:p>
          <w:p>
            <w:pPr>
              <w:spacing w:line="360" w:lineRule="exact"/>
              <w:jc w:val="left"/>
              <w:rPr>
                <w:rFonts w:ascii="仿宋_GB2312" w:hAnsi="黑体" w:eastAsia="仿宋_GB2312"/>
                <w:sz w:val="24"/>
              </w:rPr>
            </w:pPr>
            <w:r>
              <w:rPr>
                <w:rFonts w:hint="eastAsia" w:ascii="仿宋_GB2312" w:hAnsi="黑体" w:eastAsia="仿宋_GB2312" w:cs="Times New Roman"/>
                <w:sz w:val="24"/>
                <w:lang w:val="en-US" w:eastAsia="zh-CN"/>
              </w:rPr>
              <w:t>3.水行政部门出具的《水土保持补偿费缴纳通知书》。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申请期限</w:t>
            </w:r>
          </w:p>
        </w:tc>
        <w:tc>
          <w:tcPr>
            <w:tcW w:w="992" w:type="dxa"/>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9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法定办理期限</w:t>
            </w:r>
          </w:p>
        </w:tc>
        <w:tc>
          <w:tcPr>
            <w:tcW w:w="1932" w:type="dxa"/>
            <w:gridSpan w:val="4"/>
            <w:vAlign w:val="center"/>
          </w:tcPr>
          <w:p>
            <w:pPr>
              <w:spacing w:line="360" w:lineRule="exact"/>
              <w:jc w:val="center"/>
              <w:rPr>
                <w:rFonts w:ascii="仿宋_GB2312" w:hAnsi="黑体" w:eastAsia="仿宋_GB2312"/>
                <w:sz w:val="18"/>
                <w:szCs w:val="18"/>
              </w:rPr>
            </w:pPr>
            <w:r>
              <w:rPr>
                <w:rFonts w:ascii="仿宋_GB2312" w:hAnsi="黑体" w:eastAsia="仿宋_GB2312"/>
                <w:sz w:val="18"/>
                <w:szCs w:val="18"/>
              </w:rPr>
              <w:t>提交资料符合法定情形即时办结</w:t>
            </w:r>
          </w:p>
        </w:tc>
        <w:tc>
          <w:tcPr>
            <w:tcW w:w="1044"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承诺办理期限</w:t>
            </w:r>
          </w:p>
        </w:tc>
        <w:tc>
          <w:tcPr>
            <w:tcW w:w="1985" w:type="dxa"/>
            <w:gridSpan w:val="2"/>
            <w:vAlign w:val="center"/>
          </w:tcPr>
          <w:p>
            <w:pPr>
              <w:spacing w:line="360" w:lineRule="exact"/>
              <w:jc w:val="center"/>
              <w:rPr>
                <w:rFonts w:ascii="仿宋_GB2312" w:hAnsi="黑体" w:eastAsia="仿宋_GB2312"/>
                <w:sz w:val="18"/>
              </w:rPr>
            </w:pPr>
            <w:r>
              <w:rPr>
                <w:rFonts w:ascii="仿宋_GB2312" w:hAnsi="黑体" w:eastAsia="仿宋_GB2312"/>
                <w:sz w:val="18"/>
                <w:szCs w:val="18"/>
              </w:rPr>
              <w:t>提交资料符合法定情形即时办结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办理流程</w:t>
            </w:r>
          </w:p>
        </w:tc>
        <w:tc>
          <w:tcPr>
            <w:tcW w:w="6946" w:type="dxa"/>
            <w:gridSpan w:val="11"/>
            <w:vAlign w:val="center"/>
          </w:tcPr>
          <w:p>
            <w:pPr>
              <w:spacing w:line="360" w:lineRule="exact"/>
              <w:jc w:val="center"/>
              <w:rPr>
                <w:rFonts w:hint="eastAsia" w:ascii="仿宋_GB2312" w:hAnsi="黑体" w:eastAsia="仿宋_GB2312"/>
                <w:sz w:val="24"/>
                <w:u w:val="none"/>
                <w:lang w:eastAsia="zh-CN"/>
              </w:rPr>
            </w:pPr>
            <w:r>
              <w:rPr>
                <w:rFonts w:hint="eastAsia" w:ascii="仿宋_GB2312" w:hAnsi="黑体" w:eastAsia="仿宋_GB2312"/>
                <w:sz w:val="24"/>
                <w:u w:val="none"/>
                <w:lang w:eastAsia="zh-CN"/>
              </w:rPr>
              <w:t>税务行政职权运行流程图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特殊规定</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中介服务及依据</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2"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部门衔接</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szCs w:val="18"/>
                <w:lang w:val="en-US" w:eastAsia="zh-CN"/>
              </w:rPr>
              <w:t>会同财政、水利等部门做好业务衔接和信息互联互通，及时共享非税收入计征、缴款等信息。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监管措施</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日常监管</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szCs w:val="18"/>
                <w:lang w:val="en-US" w:eastAsia="zh-CN"/>
              </w:rPr>
              <w:t>征收单位应当严格按照规定的非税收入项目、征收范围和征收标准进行征收，及时足额上缴非税收入，并对欠缴、少缴收入实施催缴。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共享信息</w:t>
            </w:r>
          </w:p>
        </w:tc>
        <w:tc>
          <w:tcPr>
            <w:tcW w:w="2477" w:type="dxa"/>
            <w:gridSpan w:val="5"/>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核查信息</w:t>
            </w:r>
          </w:p>
        </w:tc>
        <w:tc>
          <w:tcPr>
            <w:tcW w:w="3029"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咨询查询</w:t>
            </w:r>
          </w:p>
          <w:p>
            <w:pPr>
              <w:spacing w:line="360" w:lineRule="exact"/>
              <w:jc w:val="center"/>
              <w:rPr>
                <w:rFonts w:ascii="宋体" w:hAnsi="宋体"/>
                <w:b/>
                <w:sz w:val="28"/>
                <w:szCs w:val="28"/>
              </w:rPr>
            </w:pPr>
            <w:r>
              <w:rPr>
                <w:rFonts w:hint="eastAsia" w:ascii="宋体" w:hAnsi="宋体"/>
                <w:b/>
                <w:sz w:val="28"/>
                <w:szCs w:val="28"/>
              </w:rPr>
              <w:t>咨询查询</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咨询途径</w:t>
            </w:r>
          </w:p>
        </w:tc>
        <w:tc>
          <w:tcPr>
            <w:tcW w:w="6946" w:type="dxa"/>
            <w:gridSpan w:val="11"/>
            <w:vAlign w:val="center"/>
          </w:tcPr>
          <w:p>
            <w:pPr>
              <w:spacing w:line="360" w:lineRule="exact"/>
              <w:jc w:val="center"/>
              <w:rPr>
                <w:rFonts w:ascii="仿宋_GB2312" w:hAnsi="黑体" w:eastAsia="仿宋_GB2312"/>
                <w:sz w:val="24"/>
              </w:rPr>
            </w:pPr>
            <w:r>
              <w:rPr>
                <w:rFonts w:ascii="仿宋_GB2312" w:hAnsi="黑体" w:eastAsia="仿宋_GB2312"/>
                <w:sz w:val="24"/>
              </w:rPr>
              <w:t>0908-4621305、4621606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1"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进度结果查询</w:t>
            </w:r>
          </w:p>
        </w:tc>
        <w:tc>
          <w:tcPr>
            <w:tcW w:w="6946" w:type="dxa"/>
            <w:gridSpan w:val="11"/>
            <w:vAlign w:val="center"/>
          </w:tcPr>
          <w:p>
            <w:pPr>
              <w:spacing w:line="360" w:lineRule="exact"/>
              <w:jc w:val="center"/>
              <w:rPr>
                <w:rFonts w:ascii="仿宋_GB2312" w:hAnsi="黑体" w:eastAsia="仿宋_GB2312"/>
                <w:sz w:val="24"/>
              </w:rPr>
            </w:pPr>
            <w:r>
              <w:rPr>
                <w:rFonts w:ascii="仿宋_GB2312" w:hAnsi="黑体" w:eastAsia="仿宋_GB2312"/>
                <w:sz w:val="24"/>
              </w:rPr>
              <w:t>0908-4621305、4621606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结果名称及样本</w:t>
            </w:r>
          </w:p>
        </w:tc>
        <w:tc>
          <w:tcPr>
            <w:tcW w:w="6946" w:type="dxa"/>
            <w:gridSpan w:val="11"/>
            <w:vAlign w:val="center"/>
          </w:tcPr>
          <w:p>
            <w:pPr>
              <w:spacing w:line="360" w:lineRule="exact"/>
              <w:jc w:val="center"/>
              <w:rPr>
                <w:rFonts w:hint="eastAsia" w:ascii="仿宋_GB2312" w:hAnsi="黑体" w:eastAsia="仿宋_GB2312"/>
                <w:sz w:val="24"/>
                <w:lang w:eastAsia="zh-CN"/>
              </w:rPr>
            </w:pPr>
            <w:r>
              <w:rPr>
                <w:rFonts w:hint="eastAsia" w:ascii="仿宋_GB2312" w:hAnsi="黑体" w:eastAsia="仿宋_GB2312"/>
                <w:sz w:val="24"/>
                <w:lang w:eastAsia="zh-CN"/>
              </w:rPr>
              <w:t>税收完税证明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结果公示渠道</w:t>
            </w:r>
          </w:p>
        </w:tc>
        <w:tc>
          <w:tcPr>
            <w:tcW w:w="6946" w:type="dxa"/>
            <w:gridSpan w:val="11"/>
            <w:vAlign w:val="center"/>
          </w:tcPr>
          <w:p>
            <w:pPr>
              <w:spacing w:line="360" w:lineRule="exact"/>
              <w:jc w:val="center"/>
              <w:rPr>
                <w:rFonts w:ascii="仿宋_GB2312" w:hAnsi="黑体" w:eastAsia="仿宋_GB2312"/>
                <w:sz w:val="24"/>
              </w:rPr>
            </w:pPr>
            <w:r>
              <w:rPr>
                <w:rFonts w:ascii="仿宋_GB2312" w:hAnsi="黑体" w:eastAsia="仿宋_GB2312"/>
                <w:sz w:val="24"/>
              </w:rPr>
              <w:t>0908-4621305、4621606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951" w:type="dxa"/>
            <w:gridSpan w:val="3"/>
            <w:vAlign w:val="center"/>
          </w:tcPr>
          <w:p>
            <w:pPr>
              <w:spacing w:line="360" w:lineRule="exact"/>
              <w:jc w:val="center"/>
              <w:rPr>
                <w:rFonts w:ascii="宋体" w:hAnsi="宋体"/>
                <w:b/>
                <w:sz w:val="28"/>
                <w:szCs w:val="28"/>
              </w:rPr>
            </w:pPr>
            <w:r>
              <w:rPr>
                <w:rFonts w:hint="eastAsia" w:ascii="宋体" w:hAnsi="宋体"/>
                <w:b/>
                <w:sz w:val="28"/>
                <w:szCs w:val="28"/>
              </w:rPr>
              <w:t>申请人责任</w:t>
            </w:r>
          </w:p>
        </w:tc>
        <w:tc>
          <w:tcPr>
            <w:tcW w:w="6946" w:type="dxa"/>
            <w:gridSpan w:val="11"/>
            <w:vAlign w:val="center"/>
          </w:tcPr>
          <w:p>
            <w:pPr>
              <w:spacing w:line="360" w:lineRule="exact"/>
              <w:jc w:val="center"/>
              <w:rPr>
                <w:rFonts w:ascii="仿宋_GB2312" w:hAnsi="黑体" w:eastAsia="仿宋_GB2312"/>
                <w:sz w:val="18"/>
                <w:szCs w:val="18"/>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6"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监督责任</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追责情形</w:t>
            </w:r>
          </w:p>
        </w:tc>
        <w:tc>
          <w:tcPr>
            <w:tcW w:w="6946" w:type="dxa"/>
            <w:gridSpan w:val="11"/>
            <w:vAlign w:val="center"/>
          </w:tcPr>
          <w:p>
            <w:pPr>
              <w:spacing w:line="360" w:lineRule="exact"/>
              <w:jc w:val="left"/>
              <w:rPr>
                <w:rFonts w:hint="eastAsia" w:ascii="仿宋_GB2312" w:hAnsi="黑体" w:eastAsia="仿宋_GB2312" w:cs="Times New Roman"/>
                <w:sz w:val="24"/>
                <w:lang w:val="en-US" w:eastAsia="zh-CN"/>
              </w:rPr>
            </w:pPr>
            <w:r>
              <w:rPr>
                <w:rFonts w:hint="eastAsia" w:ascii="仿宋_GB2312" w:hAnsi="黑体" w:eastAsia="仿宋_GB2312" w:cs="Times New Roman"/>
                <w:sz w:val="24"/>
                <w:lang w:val="en-US" w:eastAsia="zh-CN"/>
              </w:rPr>
              <w:t>税务机关及其工作人员履行行政职责存在以下情形的，应当承担相应责任：</w:t>
            </w:r>
          </w:p>
          <w:p>
            <w:pPr>
              <w:spacing w:line="360" w:lineRule="exact"/>
              <w:jc w:val="left"/>
              <w:rPr>
                <w:rFonts w:hint="eastAsia" w:ascii="仿宋_GB2312" w:hAnsi="黑体" w:eastAsia="仿宋_GB2312" w:cs="Times New Roman"/>
                <w:sz w:val="24"/>
                <w:lang w:val="en-US" w:eastAsia="zh-CN"/>
              </w:rPr>
            </w:pPr>
            <w:r>
              <w:rPr>
                <w:rFonts w:hint="eastAsia" w:ascii="仿宋_GB2312" w:hAnsi="黑体" w:eastAsia="仿宋_GB2312" w:cs="Times New Roman"/>
                <w:sz w:val="24"/>
                <w:lang w:val="en-US" w:eastAsia="zh-CN"/>
              </w:rPr>
              <w:t>1.擅自减免水土保持补偿费或者改变水土保持补偿费征收范围、对象和标准的；</w:t>
            </w:r>
          </w:p>
          <w:p>
            <w:pPr>
              <w:spacing w:line="360" w:lineRule="exact"/>
              <w:jc w:val="left"/>
              <w:rPr>
                <w:rFonts w:hint="eastAsia" w:ascii="仿宋_GB2312" w:hAnsi="黑体" w:eastAsia="仿宋_GB2312" w:cs="Times New Roman"/>
                <w:sz w:val="24"/>
                <w:lang w:val="en-US" w:eastAsia="zh-CN"/>
              </w:rPr>
            </w:pPr>
            <w:r>
              <w:rPr>
                <w:rFonts w:hint="eastAsia" w:ascii="仿宋_GB2312" w:hAnsi="黑体" w:eastAsia="仿宋_GB2312" w:cs="Times New Roman"/>
                <w:sz w:val="24"/>
                <w:lang w:val="en-US" w:eastAsia="zh-CN"/>
              </w:rPr>
              <w:t>2.不按照规定的预算级次、预算科目将水土保持补偿费缴入国库的；</w:t>
            </w:r>
          </w:p>
          <w:p>
            <w:pPr>
              <w:spacing w:line="360" w:lineRule="exact"/>
              <w:jc w:val="left"/>
              <w:rPr>
                <w:rFonts w:hint="eastAsia" w:ascii="仿宋_GB2312" w:hAnsi="黑体" w:eastAsia="仿宋_GB2312" w:cs="Times New Roman"/>
                <w:sz w:val="24"/>
                <w:lang w:val="en-US" w:eastAsia="zh-CN"/>
              </w:rPr>
            </w:pPr>
            <w:r>
              <w:rPr>
                <w:rFonts w:hint="eastAsia" w:ascii="仿宋_GB2312" w:hAnsi="黑体" w:eastAsia="仿宋_GB2312" w:cs="Times New Roman"/>
                <w:sz w:val="24"/>
                <w:lang w:val="en-US" w:eastAsia="zh-CN"/>
              </w:rPr>
              <w:t>3.在水土保持补偿费征收和使用管理工作中徇私舞弊、玩忽职守、滥用职权的；</w:t>
            </w:r>
          </w:p>
          <w:p>
            <w:pPr>
              <w:spacing w:line="360" w:lineRule="exact"/>
              <w:jc w:val="left"/>
              <w:rPr>
                <w:rFonts w:ascii="仿宋_GB2312" w:hAnsi="黑体" w:eastAsia="仿宋_GB2312"/>
                <w:sz w:val="24"/>
              </w:rPr>
            </w:pPr>
            <w:r>
              <w:rPr>
                <w:rFonts w:hint="eastAsia" w:ascii="仿宋_GB2312" w:hAnsi="黑体" w:eastAsia="仿宋_GB2312" w:cs="Times New Roman"/>
                <w:sz w:val="24"/>
                <w:lang w:val="en-US" w:eastAsia="zh-CN"/>
              </w:rPr>
              <w:t>4.法律、行政法规等规定的其他不履行或者不正确履行行政职责的情形。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648" w:type="dxa"/>
            <w:vMerge w:val="continue"/>
            <w:vAlign w:val="center"/>
          </w:tcPr>
          <w:p>
            <w:pPr>
              <w:spacing w:line="360" w:lineRule="exact"/>
              <w:jc w:val="center"/>
              <w:rPr>
                <w:rFonts w:ascii="宋体" w:hAnsi="宋体"/>
                <w:b/>
                <w:sz w:val="28"/>
                <w:szCs w:val="28"/>
              </w:rPr>
            </w:pPr>
            <w:bookmarkStart w:id="1" w:name="_GoBack" w:colFirst="2" w:colLast="6"/>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监督机构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国家税务总局乌恰县税务局纪检组</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联系方式</w:t>
            </w:r>
          </w:p>
        </w:tc>
        <w:tc>
          <w:tcPr>
            <w:tcW w:w="2669" w:type="dxa"/>
            <w:gridSpan w:val="3"/>
            <w:vAlign w:val="center"/>
          </w:tcPr>
          <w:p>
            <w:pPr>
              <w:spacing w:line="360" w:lineRule="exact"/>
              <w:jc w:val="center"/>
              <w:rPr>
                <w:rFonts w:ascii="仿宋_GB2312" w:hAnsi="黑体" w:eastAsia="仿宋_GB2312"/>
                <w:sz w:val="24"/>
              </w:rPr>
            </w:pPr>
            <w:r>
              <w:rPr>
                <w:rFonts w:hint="eastAsia" w:ascii="仿宋_GB2312" w:hAnsi="黑体" w:eastAsia="仿宋_GB2312"/>
                <w:sz w:val="24"/>
              </w:rPr>
              <w:t>0908-4621517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投诉受理机构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国家税务总局乌恰县税务局纳税服务股</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联系方式</w:t>
            </w:r>
          </w:p>
        </w:tc>
        <w:tc>
          <w:tcPr>
            <w:tcW w:w="2669" w:type="dxa"/>
            <w:gridSpan w:val="3"/>
            <w:vAlign w:val="center"/>
          </w:tcPr>
          <w:p>
            <w:pPr>
              <w:spacing w:line="360" w:lineRule="exact"/>
              <w:jc w:val="center"/>
              <w:rPr>
                <w:rFonts w:ascii="仿宋_GB2312" w:hAnsi="黑体" w:eastAsia="仿宋_GB2312"/>
                <w:sz w:val="24"/>
              </w:rPr>
            </w:pPr>
            <w:r>
              <w:rPr>
                <w:rFonts w:hint="eastAsia" w:ascii="仿宋_GB2312" w:hAnsi="黑体" w:eastAsia="仿宋_GB2312"/>
                <w:sz w:val="24"/>
              </w:rPr>
              <w:t>0908-4621095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信访受理机构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国家税务总局乌恰县税务局办公室</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地址和联系方式</w:t>
            </w:r>
          </w:p>
        </w:tc>
        <w:tc>
          <w:tcPr>
            <w:tcW w:w="2669" w:type="dxa"/>
            <w:gridSpan w:val="3"/>
            <w:vAlign w:val="center"/>
          </w:tcPr>
          <w:p>
            <w:pPr>
              <w:spacing w:line="360" w:lineRule="exact"/>
              <w:jc w:val="center"/>
              <w:rPr>
                <w:rFonts w:ascii="仿宋_GB2312" w:hAnsi="黑体" w:eastAsia="仿宋_GB2312"/>
                <w:sz w:val="24"/>
              </w:rPr>
            </w:pPr>
            <w:r>
              <w:rPr>
                <w:rFonts w:hint="eastAsia" w:ascii="仿宋_GB2312" w:hAnsi="黑体" w:eastAsia="仿宋_GB2312"/>
                <w:sz w:val="24"/>
              </w:rPr>
              <w:t>0908-4621656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法律救济</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行政复议机关</w:t>
            </w:r>
          </w:p>
        </w:tc>
        <w:tc>
          <w:tcPr>
            <w:tcW w:w="2837" w:type="dxa"/>
            <w:gridSpan w:val="6"/>
            <w:vAlign w:val="center"/>
          </w:tcPr>
          <w:p>
            <w:pPr>
              <w:spacing w:line="360" w:lineRule="exact"/>
              <w:jc w:val="left"/>
              <w:rPr>
                <w:rFonts w:ascii="仿宋_GB2312" w:hAnsi="黑体" w:eastAsia="仿宋_GB2312"/>
                <w:szCs w:val="21"/>
              </w:rPr>
            </w:pPr>
            <w:r>
              <w:rPr>
                <w:rFonts w:hint="eastAsia" w:ascii="仿宋_GB2312" w:hAnsi="黑体" w:eastAsia="仿宋_GB2312"/>
                <w:sz w:val="24"/>
              </w:rPr>
              <w:t>国家税务总局克州税务局</w:t>
            </w:r>
            <w:r>
              <w:rPr>
                <w:rFonts w:hint="eastAsia" w:ascii="仿宋_GB2312" w:hAnsi="黑体" w:eastAsia="仿宋_GB2312"/>
                <w:sz w:val="24"/>
                <w:lang w:eastAsia="zh-CN"/>
              </w:rPr>
              <w:t>（仅供参考，具体案件中，案件管辖以及是否属于复议受理范围，由有权机关依法确定。）</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地址和联系方式</w:t>
            </w:r>
          </w:p>
        </w:tc>
        <w:tc>
          <w:tcPr>
            <w:tcW w:w="2669" w:type="dxa"/>
            <w:gridSpan w:val="3"/>
            <w:vAlign w:val="center"/>
          </w:tcPr>
          <w:p>
            <w:pPr>
              <w:spacing w:line="360" w:lineRule="exact"/>
              <w:jc w:val="left"/>
              <w:rPr>
                <w:rFonts w:ascii="仿宋_GB2312" w:hAnsi="黑体" w:eastAsia="仿宋_GB2312"/>
                <w:sz w:val="24"/>
              </w:rPr>
            </w:pPr>
            <w:r>
              <w:rPr>
                <w:rFonts w:ascii="仿宋_GB2312" w:hAnsi="黑体" w:eastAsia="仿宋_GB2312"/>
                <w:sz w:val="24"/>
              </w:rPr>
              <w:t>新疆维吾尔自治区克孜勒苏柯尔克孜自治州</w:t>
            </w:r>
            <w:r>
              <w:rPr>
                <w:rFonts w:hint="eastAsia" w:ascii="仿宋_GB2312" w:hAnsi="黑体" w:eastAsia="仿宋_GB2312"/>
                <w:sz w:val="24"/>
              </w:rPr>
              <w:t>光明路21号0908-4235209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行政诉讼管辖法院</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lang w:eastAsia="zh-CN"/>
              </w:rPr>
              <w:t>乌恰县人民法院（</w:t>
            </w:r>
            <w:r>
              <w:rPr>
                <w:rFonts w:hint="eastAsia" w:ascii="仿宋_GB2312" w:hAnsi="黑体" w:eastAsia="仿宋_GB2312"/>
                <w:sz w:val="24"/>
              </w:rPr>
              <w:t>仅供参考。具体案件中，案件管辖以及是否属于诉讼受理范围，由有权机关依法确定。</w:t>
            </w:r>
            <w:r>
              <w:rPr>
                <w:rFonts w:hint="eastAsia" w:ascii="仿宋_GB2312" w:hAnsi="黑体" w:eastAsia="仿宋_GB2312"/>
                <w:sz w:val="24"/>
                <w:lang w:eastAsia="zh-CN"/>
              </w:rPr>
              <w:t>）</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atLeast"/>
        </w:trPr>
        <w:tc>
          <w:tcPr>
            <w:tcW w:w="648" w:type="dxa"/>
            <w:vAlign w:val="center"/>
          </w:tcPr>
          <w:p>
            <w:pPr>
              <w:spacing w:line="360" w:lineRule="exact"/>
              <w:jc w:val="center"/>
              <w:rPr>
                <w:rFonts w:ascii="宋体" w:hAnsi="宋体"/>
                <w:b/>
                <w:sz w:val="28"/>
                <w:szCs w:val="28"/>
              </w:rPr>
            </w:pPr>
            <w:r>
              <w:rPr>
                <w:rFonts w:hint="eastAsia" w:ascii="宋体" w:hAnsi="宋体"/>
                <w:b/>
                <w:sz w:val="28"/>
                <w:szCs w:val="28"/>
              </w:rPr>
              <w:t>常见问题</w:t>
            </w:r>
          </w:p>
        </w:tc>
        <w:tc>
          <w:tcPr>
            <w:tcW w:w="8249" w:type="dxa"/>
            <w:gridSpan w:val="13"/>
            <w:vAlign w:val="center"/>
          </w:tcPr>
          <w:p>
            <w:pPr>
              <w:spacing w:line="360" w:lineRule="exact"/>
              <w:rPr>
                <w:rFonts w:ascii="仿宋_GB2312" w:hAnsi="黑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留言区</w:t>
            </w: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我要投诉</w:t>
            </w:r>
          </w:p>
        </w:tc>
        <w:tc>
          <w:tcPr>
            <w:tcW w:w="6959" w:type="dxa"/>
            <w:gridSpan w:val="12"/>
            <w:vAlign w:val="center"/>
          </w:tcPr>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0" w:hRule="atLeast"/>
        </w:trPr>
        <w:tc>
          <w:tcPr>
            <w:tcW w:w="648" w:type="dxa"/>
            <w:vMerge w:val="continue"/>
            <w:vAlign w:val="center"/>
          </w:tcPr>
          <w:p>
            <w:pPr>
              <w:spacing w:line="360" w:lineRule="exact"/>
              <w:jc w:val="center"/>
              <w:rPr>
                <w:rFonts w:ascii="华文中宋" w:hAnsi="华文中宋" w:eastAsia="华文中宋"/>
                <w:sz w:val="24"/>
              </w:rPr>
            </w:pP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我要评价</w:t>
            </w:r>
          </w:p>
        </w:tc>
        <w:tc>
          <w:tcPr>
            <w:tcW w:w="6959" w:type="dxa"/>
            <w:gridSpan w:val="12"/>
            <w:vAlign w:val="center"/>
          </w:tcPr>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648" w:type="dxa"/>
            <w:vMerge w:val="continue"/>
            <w:vAlign w:val="center"/>
          </w:tcPr>
          <w:p>
            <w:pPr>
              <w:spacing w:line="360" w:lineRule="exact"/>
              <w:jc w:val="center"/>
              <w:rPr>
                <w:rFonts w:ascii="华文中宋" w:hAnsi="华文中宋" w:eastAsia="华文中宋"/>
                <w:sz w:val="24"/>
              </w:rPr>
            </w:pP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我要建议</w:t>
            </w:r>
          </w:p>
        </w:tc>
        <w:tc>
          <w:tcPr>
            <w:tcW w:w="6959" w:type="dxa"/>
            <w:gridSpan w:val="12"/>
            <w:vAlign w:val="center"/>
          </w:tcPr>
          <w:p>
            <w:pPr>
              <w:spacing w:line="360" w:lineRule="exact"/>
              <w:jc w:val="center"/>
              <w:rPr>
                <w:rFonts w:ascii="仿宋_GB2312" w:hAnsi="黑体" w:eastAsia="仿宋_GB2312"/>
                <w:sz w:val="24"/>
              </w:rPr>
            </w:pPr>
          </w:p>
        </w:tc>
      </w:tr>
    </w:tbl>
    <w:p>
      <w:pPr>
        <w:rPr>
          <w:rFonts w:ascii="黑体" w:hAnsi="黑体" w:eastAsia="黑体"/>
          <w:sz w:val="32"/>
          <w:szCs w:val="32"/>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3QW1FLgBAABXAwAADgAAAAAAAAABACAAAAAeAQAAZHJzL2Uyb0RvYy54bWxQSwUGAAAAAAYABgBZ&#10;AQAASA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9AA"/>
    <w:rsid w:val="000013D1"/>
    <w:rsid w:val="00011F6B"/>
    <w:rsid w:val="00025D5E"/>
    <w:rsid w:val="0006338F"/>
    <w:rsid w:val="00065E68"/>
    <w:rsid w:val="00083828"/>
    <w:rsid w:val="00086687"/>
    <w:rsid w:val="0009302E"/>
    <w:rsid w:val="000940DA"/>
    <w:rsid w:val="00096063"/>
    <w:rsid w:val="00096466"/>
    <w:rsid w:val="000976A0"/>
    <w:rsid w:val="000A72C5"/>
    <w:rsid w:val="000F3B0B"/>
    <w:rsid w:val="00127CBF"/>
    <w:rsid w:val="00154F1A"/>
    <w:rsid w:val="00191B26"/>
    <w:rsid w:val="001B20FC"/>
    <w:rsid w:val="001C7EBD"/>
    <w:rsid w:val="001D523C"/>
    <w:rsid w:val="001E530A"/>
    <w:rsid w:val="002046CC"/>
    <w:rsid w:val="002053AB"/>
    <w:rsid w:val="0021744D"/>
    <w:rsid w:val="0023064B"/>
    <w:rsid w:val="00244CE0"/>
    <w:rsid w:val="00246161"/>
    <w:rsid w:val="00252315"/>
    <w:rsid w:val="00263083"/>
    <w:rsid w:val="00263923"/>
    <w:rsid w:val="00265D66"/>
    <w:rsid w:val="00274C20"/>
    <w:rsid w:val="002D7B5A"/>
    <w:rsid w:val="002E4238"/>
    <w:rsid w:val="00335E98"/>
    <w:rsid w:val="00367C65"/>
    <w:rsid w:val="00393AB2"/>
    <w:rsid w:val="003A29FC"/>
    <w:rsid w:val="003B000D"/>
    <w:rsid w:val="003C5703"/>
    <w:rsid w:val="003D08E4"/>
    <w:rsid w:val="003D59E5"/>
    <w:rsid w:val="003F05EE"/>
    <w:rsid w:val="004633F6"/>
    <w:rsid w:val="00467B1E"/>
    <w:rsid w:val="004812B3"/>
    <w:rsid w:val="004866F4"/>
    <w:rsid w:val="004949F9"/>
    <w:rsid w:val="004B4F73"/>
    <w:rsid w:val="004C54A5"/>
    <w:rsid w:val="004C5EDE"/>
    <w:rsid w:val="004E506E"/>
    <w:rsid w:val="004E5C46"/>
    <w:rsid w:val="004F12F6"/>
    <w:rsid w:val="004F146D"/>
    <w:rsid w:val="00514155"/>
    <w:rsid w:val="00521B8A"/>
    <w:rsid w:val="0059405A"/>
    <w:rsid w:val="005A2DF4"/>
    <w:rsid w:val="005B798C"/>
    <w:rsid w:val="005D26EF"/>
    <w:rsid w:val="005E4A1E"/>
    <w:rsid w:val="005F45D6"/>
    <w:rsid w:val="005F6397"/>
    <w:rsid w:val="006011A5"/>
    <w:rsid w:val="00610B89"/>
    <w:rsid w:val="00611931"/>
    <w:rsid w:val="00613A5B"/>
    <w:rsid w:val="00622F61"/>
    <w:rsid w:val="0066263D"/>
    <w:rsid w:val="00685E87"/>
    <w:rsid w:val="006A3D3E"/>
    <w:rsid w:val="00700239"/>
    <w:rsid w:val="00710449"/>
    <w:rsid w:val="0072471F"/>
    <w:rsid w:val="00732986"/>
    <w:rsid w:val="00757523"/>
    <w:rsid w:val="007650B3"/>
    <w:rsid w:val="0077792E"/>
    <w:rsid w:val="007A4D52"/>
    <w:rsid w:val="007E682A"/>
    <w:rsid w:val="007F13E7"/>
    <w:rsid w:val="007F7E9D"/>
    <w:rsid w:val="00801E0D"/>
    <w:rsid w:val="00803AC4"/>
    <w:rsid w:val="00804A25"/>
    <w:rsid w:val="00807390"/>
    <w:rsid w:val="008121E9"/>
    <w:rsid w:val="00831C6B"/>
    <w:rsid w:val="00832C29"/>
    <w:rsid w:val="008333EF"/>
    <w:rsid w:val="008544FF"/>
    <w:rsid w:val="00864463"/>
    <w:rsid w:val="00865DE6"/>
    <w:rsid w:val="008669FF"/>
    <w:rsid w:val="00883051"/>
    <w:rsid w:val="00893C64"/>
    <w:rsid w:val="00895369"/>
    <w:rsid w:val="00897C33"/>
    <w:rsid w:val="008A6469"/>
    <w:rsid w:val="008C01B9"/>
    <w:rsid w:val="008C37BF"/>
    <w:rsid w:val="008D086C"/>
    <w:rsid w:val="008D1670"/>
    <w:rsid w:val="00902E51"/>
    <w:rsid w:val="0090694F"/>
    <w:rsid w:val="009138B5"/>
    <w:rsid w:val="0094303A"/>
    <w:rsid w:val="00966D7F"/>
    <w:rsid w:val="0097023F"/>
    <w:rsid w:val="00970ED1"/>
    <w:rsid w:val="0097557F"/>
    <w:rsid w:val="00980C55"/>
    <w:rsid w:val="00982F06"/>
    <w:rsid w:val="009925BC"/>
    <w:rsid w:val="009B036B"/>
    <w:rsid w:val="009C7227"/>
    <w:rsid w:val="00A03B48"/>
    <w:rsid w:val="00A0552F"/>
    <w:rsid w:val="00A219AA"/>
    <w:rsid w:val="00A25EBA"/>
    <w:rsid w:val="00A57B4D"/>
    <w:rsid w:val="00A6233D"/>
    <w:rsid w:val="00A651F1"/>
    <w:rsid w:val="00A77558"/>
    <w:rsid w:val="00A828F4"/>
    <w:rsid w:val="00A92149"/>
    <w:rsid w:val="00A9260F"/>
    <w:rsid w:val="00AB4F02"/>
    <w:rsid w:val="00AD71A3"/>
    <w:rsid w:val="00AE3253"/>
    <w:rsid w:val="00AE51C5"/>
    <w:rsid w:val="00B0338E"/>
    <w:rsid w:val="00B05EA3"/>
    <w:rsid w:val="00B12471"/>
    <w:rsid w:val="00B13E01"/>
    <w:rsid w:val="00B323AA"/>
    <w:rsid w:val="00B37677"/>
    <w:rsid w:val="00B40754"/>
    <w:rsid w:val="00B42D18"/>
    <w:rsid w:val="00B465F9"/>
    <w:rsid w:val="00B64C53"/>
    <w:rsid w:val="00BB4E1D"/>
    <w:rsid w:val="00BB6180"/>
    <w:rsid w:val="00BE3202"/>
    <w:rsid w:val="00BF44D7"/>
    <w:rsid w:val="00BF4F8F"/>
    <w:rsid w:val="00C14975"/>
    <w:rsid w:val="00C225E5"/>
    <w:rsid w:val="00C259BB"/>
    <w:rsid w:val="00C36175"/>
    <w:rsid w:val="00C814E0"/>
    <w:rsid w:val="00CA3A16"/>
    <w:rsid w:val="00CA471F"/>
    <w:rsid w:val="00CB0D42"/>
    <w:rsid w:val="00CC26A2"/>
    <w:rsid w:val="00CC46C2"/>
    <w:rsid w:val="00CF381B"/>
    <w:rsid w:val="00D118C1"/>
    <w:rsid w:val="00D14953"/>
    <w:rsid w:val="00D272E3"/>
    <w:rsid w:val="00D432BD"/>
    <w:rsid w:val="00D44590"/>
    <w:rsid w:val="00D56D2A"/>
    <w:rsid w:val="00D614E1"/>
    <w:rsid w:val="00D658C7"/>
    <w:rsid w:val="00D93D78"/>
    <w:rsid w:val="00DB7254"/>
    <w:rsid w:val="00DB737D"/>
    <w:rsid w:val="00DC695B"/>
    <w:rsid w:val="00DC6B81"/>
    <w:rsid w:val="00DE3CCF"/>
    <w:rsid w:val="00DE7CEC"/>
    <w:rsid w:val="00DF47DD"/>
    <w:rsid w:val="00E044DF"/>
    <w:rsid w:val="00E13A1B"/>
    <w:rsid w:val="00E25FAF"/>
    <w:rsid w:val="00E41F23"/>
    <w:rsid w:val="00E4354E"/>
    <w:rsid w:val="00E54E55"/>
    <w:rsid w:val="00E56E8A"/>
    <w:rsid w:val="00E635C4"/>
    <w:rsid w:val="00E63C13"/>
    <w:rsid w:val="00E82093"/>
    <w:rsid w:val="00E82738"/>
    <w:rsid w:val="00E97515"/>
    <w:rsid w:val="00E9783D"/>
    <w:rsid w:val="00EB3F2E"/>
    <w:rsid w:val="00EC5BA1"/>
    <w:rsid w:val="00ED044E"/>
    <w:rsid w:val="00EE2A7C"/>
    <w:rsid w:val="00EE30AD"/>
    <w:rsid w:val="00F00A69"/>
    <w:rsid w:val="00F10313"/>
    <w:rsid w:val="00F15ECA"/>
    <w:rsid w:val="00F1745B"/>
    <w:rsid w:val="00F233E1"/>
    <w:rsid w:val="00F246B2"/>
    <w:rsid w:val="00F52F25"/>
    <w:rsid w:val="00F54A0F"/>
    <w:rsid w:val="00F63C61"/>
    <w:rsid w:val="00F76376"/>
    <w:rsid w:val="00F86C9E"/>
    <w:rsid w:val="00F93D44"/>
    <w:rsid w:val="00FA0807"/>
    <w:rsid w:val="00FA089E"/>
    <w:rsid w:val="00FC32C1"/>
    <w:rsid w:val="00FD3D8A"/>
    <w:rsid w:val="00FD6808"/>
    <w:rsid w:val="00FD72AB"/>
    <w:rsid w:val="00FE0702"/>
    <w:rsid w:val="00FF15CE"/>
    <w:rsid w:val="00FF17E6"/>
    <w:rsid w:val="00FF2875"/>
    <w:rsid w:val="00FF7750"/>
    <w:rsid w:val="0C3E140C"/>
    <w:rsid w:val="0E1E4160"/>
    <w:rsid w:val="10D477C3"/>
    <w:rsid w:val="16A92C0F"/>
    <w:rsid w:val="181E377D"/>
    <w:rsid w:val="1B41703F"/>
    <w:rsid w:val="23390315"/>
    <w:rsid w:val="289E3B78"/>
    <w:rsid w:val="28AE02AB"/>
    <w:rsid w:val="2DA2625B"/>
    <w:rsid w:val="2DC13B18"/>
    <w:rsid w:val="2FD255DF"/>
    <w:rsid w:val="36E804A3"/>
    <w:rsid w:val="3A1D0B06"/>
    <w:rsid w:val="412D3503"/>
    <w:rsid w:val="425E09E6"/>
    <w:rsid w:val="444E5B09"/>
    <w:rsid w:val="48F53A81"/>
    <w:rsid w:val="4F214BCC"/>
    <w:rsid w:val="4F380C73"/>
    <w:rsid w:val="50A6482B"/>
    <w:rsid w:val="53A7702B"/>
    <w:rsid w:val="54174F8F"/>
    <w:rsid w:val="56DE710F"/>
    <w:rsid w:val="57B4189D"/>
    <w:rsid w:val="586702ED"/>
    <w:rsid w:val="58FF0C30"/>
    <w:rsid w:val="591503D9"/>
    <w:rsid w:val="59CA2416"/>
    <w:rsid w:val="5B34261D"/>
    <w:rsid w:val="5C34392B"/>
    <w:rsid w:val="5EB53B9F"/>
    <w:rsid w:val="63C3327E"/>
    <w:rsid w:val="64554B2B"/>
    <w:rsid w:val="679F6FDE"/>
    <w:rsid w:val="69B17768"/>
    <w:rsid w:val="6D0022BD"/>
    <w:rsid w:val="781C6E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4"/>
    <w:qFormat/>
    <w:uiPriority w:val="0"/>
    <w:rPr>
      <w:rFonts w:asciiTheme="minorHAnsi" w:hAnsiTheme="minorHAnsi" w:eastAsiaTheme="minorEastAsia" w:cstheme="minorBidi"/>
      <w:sz w:val="18"/>
      <w:szCs w:val="18"/>
    </w:rPr>
  </w:style>
  <w:style w:type="paragraph" w:styleId="3">
    <w:name w:val="footer"/>
    <w:basedOn w:val="1"/>
    <w:link w:val="13"/>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HTML Preformatted"/>
    <w:basedOn w:val="1"/>
    <w:link w:val="1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pPr>
      <w:jc w:val="left"/>
    </w:pPr>
    <w:rPr>
      <w:kern w:val="0"/>
      <w:sz w:val="24"/>
    </w:rPr>
  </w:style>
  <w:style w:type="character" w:styleId="8">
    <w:name w:val="FollowedHyperlink"/>
    <w:basedOn w:val="7"/>
    <w:unhideWhenUsed/>
    <w:qFormat/>
    <w:uiPriority w:val="99"/>
    <w:rPr>
      <w:color w:val="800080"/>
      <w:u w:val="single"/>
    </w:rPr>
  </w:style>
  <w:style w:type="character" w:styleId="9">
    <w:name w:val="Hyperlink"/>
    <w:basedOn w:val="7"/>
    <w:unhideWhenUsed/>
    <w:qFormat/>
    <w:uiPriority w:val="99"/>
    <w:rPr>
      <w:color w:val="0000FF" w:themeColor="hyperlink"/>
      <w:u w:val="single"/>
      <w14:textFill>
        <w14:solidFill>
          <w14:schemeClr w14:val="hlink"/>
        </w14:solidFill>
      </w14:textFill>
    </w:rPr>
  </w:style>
  <w:style w:type="table" w:styleId="11">
    <w:name w:val="Table Grid"/>
    <w:basedOn w:val="1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Char"/>
    <w:basedOn w:val="7"/>
    <w:link w:val="4"/>
    <w:qFormat/>
    <w:uiPriority w:val="0"/>
    <w:rPr>
      <w:sz w:val="18"/>
      <w:szCs w:val="18"/>
    </w:rPr>
  </w:style>
  <w:style w:type="character" w:customStyle="1" w:styleId="13">
    <w:name w:val="页脚 Char"/>
    <w:basedOn w:val="7"/>
    <w:link w:val="3"/>
    <w:qFormat/>
    <w:uiPriority w:val="0"/>
    <w:rPr>
      <w:sz w:val="18"/>
      <w:szCs w:val="18"/>
    </w:rPr>
  </w:style>
  <w:style w:type="character" w:customStyle="1" w:styleId="14">
    <w:name w:val="批注框文本 Char"/>
    <w:link w:val="2"/>
    <w:qFormat/>
    <w:uiPriority w:val="0"/>
    <w:rPr>
      <w:sz w:val="18"/>
      <w:szCs w:val="18"/>
    </w:rPr>
  </w:style>
  <w:style w:type="character" w:customStyle="1" w:styleId="15">
    <w:name w:val="批注框文本 Char1"/>
    <w:basedOn w:val="7"/>
    <w:semiHidden/>
    <w:qFormat/>
    <w:uiPriority w:val="99"/>
    <w:rPr>
      <w:rFonts w:ascii="Times New Roman" w:hAnsi="Times New Roman" w:eastAsia="宋体" w:cs="Times New Roman"/>
      <w:sz w:val="18"/>
      <w:szCs w:val="18"/>
    </w:rPr>
  </w:style>
  <w:style w:type="paragraph" w:customStyle="1" w:styleId="16">
    <w:name w:val="需求正文_0"/>
    <w:basedOn w:val="1"/>
    <w:qFormat/>
    <w:uiPriority w:val="0"/>
    <w:pPr>
      <w:topLinePunct/>
      <w:ind w:firstLine="200"/>
    </w:pPr>
    <w:rPr>
      <w:kern w:val="20"/>
      <w:sz w:val="20"/>
      <w:szCs w:val="20"/>
    </w:rPr>
  </w:style>
  <w:style w:type="paragraph" w:customStyle="1" w:styleId="17">
    <w:name w:val="c"/>
    <w:basedOn w:val="1"/>
    <w:qFormat/>
    <w:uiPriority w:val="0"/>
    <w:pPr>
      <w:spacing w:line="380" w:lineRule="atLeast"/>
      <w:jc w:val="center"/>
    </w:pPr>
    <w:rPr>
      <w:color w:val="999999"/>
      <w:kern w:val="0"/>
      <w:sz w:val="14"/>
      <w:szCs w:val="14"/>
    </w:rPr>
  </w:style>
  <w:style w:type="character" w:customStyle="1" w:styleId="18">
    <w:name w:val="HTML 预设格式 Char"/>
    <w:basedOn w:val="7"/>
    <w:link w:val="5"/>
    <w:qFormat/>
    <w:uiPriority w:val="0"/>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228</Words>
  <Characters>1303</Characters>
  <Lines>10</Lines>
  <Paragraphs>3</Paragraphs>
  <TotalTime>0</TotalTime>
  <ScaleCrop>false</ScaleCrop>
  <LinksUpToDate>false</LinksUpToDate>
  <CharactersWithSpaces>1528</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2020-01-14T11:54:00Z</dcterms:created>
  <dc:creator>undefined</dc:creator>
  <cp:lastModifiedBy>吐玛尔·肉子阿洪</cp:lastModifiedBy>
  <cp:lastPrinted>2020-01-16T04:09:00Z</cp:lastPrinted>
  <dcterms:modified xsi:type="dcterms:W3CDTF">2021-02-01T11:44:09Z</dcterms:modified>
  <dc:title>权责事项信息表</dc:title>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