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auto"/>
          <w:sz w:val="44"/>
          <w:szCs w:val="44"/>
          <w:lang w:val="en" w:eastAsia="zh-CN"/>
        </w:rPr>
      </w:pPr>
      <w:r>
        <w:rPr>
          <w:rFonts w:hint="eastAsia" w:ascii="方正黑体_GBK" w:hAnsi="方正黑体_GBK" w:eastAsia="方正黑体_GBK" w:cs="方正黑体_GBK"/>
          <w:b w:val="0"/>
          <w:color w:val="auto"/>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auto"/>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lang w:eastAsia="zh-CN"/>
        </w:rPr>
        <w:t>乌恰县财政局</w:t>
      </w:r>
      <w:r>
        <w:rPr>
          <w:rFonts w:hint="eastAsia" w:ascii="方正小标宋简体" w:hAnsi="方正小标宋简体" w:eastAsia="方正小标宋简体" w:cs="方正小标宋简体"/>
          <w:b w:val="0"/>
          <w:bCs/>
          <w:color w:val="auto"/>
          <w:sz w:val="44"/>
          <w:szCs w:val="44"/>
          <w:lang w:val="en-US" w:eastAsia="zh-CN"/>
        </w:rPr>
        <w:t>政府</w:t>
      </w:r>
      <w:r>
        <w:rPr>
          <w:rFonts w:hint="eastAsia" w:ascii="方正小标宋简体" w:hAnsi="方正小标宋简体" w:eastAsia="方正小标宋简体" w:cs="方正小标宋简体"/>
          <w:b w:val="0"/>
          <w:bCs/>
          <w:color w:val="auto"/>
          <w:sz w:val="44"/>
          <w:szCs w:val="44"/>
        </w:rPr>
        <w:t>信息公开申请表</w:t>
      </w:r>
    </w:p>
    <w:bookmarkEnd w:id="0"/>
    <w:tbl>
      <w:tblPr>
        <w:tblStyle w:val="3"/>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hint="eastAsia" w:ascii="仿宋" w:hAnsi="仿宋" w:eastAsia="仿宋"/>
                <w:color w:val="auto"/>
                <w:sz w:val="24"/>
              </w:rPr>
              <w:t>申请人</w:t>
            </w:r>
            <w:r>
              <w:rPr>
                <w:rFonts w:ascii="仿宋" w:hAnsi="仿宋" w:eastAsia="仿宋"/>
                <w:color w:val="auto"/>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rPr>
            </w:pPr>
            <w:r>
              <w:rPr>
                <w:rFonts w:hint="eastAsia" w:ascii="仿宋" w:hAnsi="仿宋" w:eastAsia="仿宋"/>
                <w:color w:val="auto"/>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rPr>
            </w:pPr>
            <w:r>
              <w:rPr>
                <w:rFonts w:hint="eastAsia" w:ascii="仿宋" w:hAnsi="仿宋" w:eastAsia="仿宋"/>
                <w:color w:val="auto"/>
                <w:sz w:val="24"/>
              </w:rPr>
              <w:t>通信</w:t>
            </w:r>
            <w:r>
              <w:rPr>
                <w:rFonts w:ascii="仿宋" w:hAnsi="仿宋" w:eastAsia="仿宋"/>
                <w:color w:val="auto"/>
                <w:sz w:val="24"/>
              </w:rPr>
              <w:t>地址</w:t>
            </w:r>
            <w:r>
              <w:rPr>
                <w:rFonts w:hint="eastAsia" w:ascii="仿宋" w:hAnsi="仿宋" w:eastAsia="仿宋"/>
                <w:color w:val="auto"/>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hint="eastAsia" w:ascii="仿宋" w:hAnsi="仿宋" w:eastAsia="仿宋" w:cs="仿宋"/>
                <w:color w:val="auto"/>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rPr>
            </w:pPr>
            <w:r>
              <w:rPr>
                <w:rFonts w:hint="eastAsia" w:ascii="仿宋" w:hAnsi="仿宋" w:eastAsia="仿宋"/>
                <w:color w:val="auto"/>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auto"/>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ascii="仿宋" w:hAnsi="仿宋" w:eastAsia="仿宋"/>
                <w:color w:val="auto"/>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r>
              <w:rPr>
                <w:rFonts w:hint="eastAsia" w:ascii="仿宋" w:hAnsi="仿宋" w:eastAsia="仿宋"/>
                <w:color w:val="auto"/>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auto"/>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rPr>
            </w:pPr>
            <w:r>
              <w:rPr>
                <w:rFonts w:ascii="仿宋" w:hAnsi="仿宋" w:eastAsia="仿宋"/>
                <w:color w:val="auto"/>
                <w:sz w:val="24"/>
              </w:rPr>
              <w:t>通信地址</w:t>
            </w:r>
            <w:r>
              <w:rPr>
                <w:rFonts w:hint="eastAsia" w:ascii="仿宋" w:hAnsi="仿宋" w:eastAsia="仿宋"/>
                <w:color w:val="auto"/>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auto"/>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auto"/>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auto"/>
                <w:sz w:val="24"/>
                <w:lang w:val="en-US" w:eastAsia="zh-CN"/>
              </w:rPr>
            </w:pPr>
            <w:r>
              <w:rPr>
                <w:rFonts w:hint="eastAsia" w:ascii="仿宋" w:hAnsi="仿宋" w:eastAsia="仿宋"/>
                <w:color w:val="auto"/>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auto"/>
                <w:sz w:val="24"/>
                <w:lang w:val="en-US" w:eastAsia="zh-CN"/>
              </w:rPr>
            </w:pPr>
            <w:r>
              <w:rPr>
                <w:rFonts w:hint="eastAsia" w:ascii="仿宋" w:hAnsi="仿宋" w:eastAsia="仿宋"/>
                <w:color w:val="auto"/>
                <w:sz w:val="24"/>
                <w:lang w:val="en-US" w:eastAsia="zh-CN"/>
              </w:rPr>
              <w:t>社会公益组织</w:t>
            </w:r>
            <w:r>
              <w:rPr>
                <w:rFonts w:hint="eastAsia" w:ascii="仿宋" w:hAnsi="仿宋" w:eastAsia="仿宋"/>
                <w:color w:val="auto"/>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auto"/>
                <w:sz w:val="24"/>
                <w:lang w:val="en-US" w:eastAsia="zh-CN"/>
              </w:rPr>
            </w:pPr>
            <w:r>
              <w:rPr>
                <w:rFonts w:hint="eastAsia" w:ascii="仿宋" w:hAnsi="仿宋" w:eastAsia="仿宋"/>
                <w:color w:val="auto"/>
                <w:sz w:val="24"/>
                <w:lang w:val="en-US" w:eastAsia="zh-CN"/>
              </w:rPr>
              <w:t>法律服务机构</w:t>
            </w:r>
            <w:r>
              <w:rPr>
                <w:rFonts w:hint="eastAsia" w:ascii="仿宋" w:hAnsi="仿宋" w:eastAsia="仿宋"/>
                <w:color w:val="auto"/>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0"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both"/>
              <w:textAlignment w:val="auto"/>
              <w:rPr>
                <w:rFonts w:hint="eastAsia" w:ascii="仿宋" w:hAnsi="仿宋" w:eastAsia="仿宋"/>
                <w:color w:val="auto"/>
                <w:sz w:val="24"/>
              </w:rPr>
            </w:pPr>
            <w:r>
              <w:rPr>
                <w:rFonts w:hint="eastAsia" w:ascii="仿宋" w:hAnsi="仿宋" w:eastAsia="仿宋"/>
                <w:color w:val="auto"/>
                <w:sz w:val="24"/>
              </w:rPr>
              <w:t>所需</w:t>
            </w:r>
            <w:r>
              <w:rPr>
                <w:rFonts w:ascii="仿宋" w:hAnsi="仿宋" w:eastAsia="仿宋"/>
                <w:color w:val="auto"/>
                <w:sz w:val="24"/>
              </w:rPr>
              <w:t>信息内容描述</w:t>
            </w:r>
            <w:r>
              <w:rPr>
                <w:rFonts w:hint="eastAsia" w:ascii="仿宋" w:hAnsi="仿宋" w:eastAsia="仿宋"/>
                <w:color w:val="auto"/>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132" w:type="dxa"/>
            <w:gridSpan w:val="3"/>
            <w:noWrap w:val="0"/>
            <w:vAlign w:val="top"/>
          </w:tcPr>
          <w:p>
            <w:pPr>
              <w:keepNext w:val="0"/>
              <w:keepLines w:val="0"/>
              <w:pageBreakBefore w:val="0"/>
              <w:numPr>
                <w:ilvl w:val="0"/>
                <w:numId w:val="0"/>
              </w:numPr>
              <w:kinsoku/>
              <w:overflowPunct/>
              <w:topLinePunct w:val="0"/>
              <w:autoSpaceDE/>
              <w:autoSpaceDN/>
              <w:bidi w:val="0"/>
              <w:spacing w:line="520" w:lineRule="exact"/>
              <w:ind w:leftChars="0"/>
              <w:jc w:val="left"/>
              <w:textAlignment w:val="auto"/>
              <w:rPr>
                <w:rFonts w:hint="eastAsia" w:ascii="仿宋" w:hAnsi="仿宋" w:eastAsia="仿宋"/>
                <w:color w:val="auto"/>
                <w:sz w:val="24"/>
              </w:rPr>
            </w:pPr>
            <w:r>
              <w:rPr>
                <w:rFonts w:hint="eastAsia" w:ascii="仿宋" w:hAnsi="仿宋" w:eastAsia="仿宋"/>
                <w:color w:val="auto"/>
                <w:sz w:val="24"/>
              </w:rPr>
              <w:t>申请人签名或盖章</w:t>
            </w:r>
          </w:p>
        </w:tc>
        <w:tc>
          <w:tcPr>
            <w:tcW w:w="2666" w:type="dxa"/>
            <w:gridSpan w:val="3"/>
            <w:noWrap w:val="0"/>
            <w:vAlign w:val="center"/>
          </w:tcPr>
          <w:p>
            <w:pPr>
              <w:keepNext w:val="0"/>
              <w:keepLines w:val="0"/>
              <w:pageBreakBefore w:val="0"/>
              <w:numPr>
                <w:ilvl w:val="0"/>
                <w:numId w:val="0"/>
              </w:numPr>
              <w:kinsoku/>
              <w:overflowPunct/>
              <w:topLinePunct w:val="0"/>
              <w:autoSpaceDE/>
              <w:autoSpaceDN/>
              <w:bidi w:val="0"/>
              <w:spacing w:line="520" w:lineRule="exact"/>
              <w:ind w:leftChars="0"/>
              <w:jc w:val="left"/>
              <w:textAlignment w:val="auto"/>
              <w:rPr>
                <w:rFonts w:ascii="仿宋" w:hAnsi="仿宋" w:eastAsia="仿宋"/>
                <w:color w:val="auto"/>
                <w:sz w:val="24"/>
              </w:rPr>
            </w:pPr>
          </w:p>
        </w:tc>
        <w:tc>
          <w:tcPr>
            <w:tcW w:w="3090" w:type="dxa"/>
            <w:gridSpan w:val="3"/>
            <w:noWrap w:val="0"/>
            <w:vAlign w:val="center"/>
          </w:tcPr>
          <w:p>
            <w:pPr>
              <w:keepNext w:val="0"/>
              <w:keepLines w:val="0"/>
              <w:pageBreakBefore w:val="0"/>
              <w:numPr>
                <w:ilvl w:val="0"/>
                <w:numId w:val="0"/>
              </w:numPr>
              <w:kinsoku/>
              <w:overflowPunct/>
              <w:topLinePunct w:val="0"/>
              <w:autoSpaceDE/>
              <w:autoSpaceDN/>
              <w:bidi w:val="0"/>
              <w:spacing w:line="520" w:lineRule="exact"/>
              <w:ind w:leftChars="0"/>
              <w:jc w:val="left"/>
              <w:textAlignment w:val="auto"/>
              <w:rPr>
                <w:rFonts w:hint="eastAsia" w:ascii="仿宋" w:hAnsi="仿宋" w:eastAsia="仿宋"/>
                <w:color w:val="auto"/>
                <w:sz w:val="24"/>
              </w:rPr>
            </w:pPr>
            <w:r>
              <w:rPr>
                <w:rFonts w:hint="eastAsia" w:ascii="仿宋" w:hAnsi="仿宋" w:eastAsia="仿宋"/>
                <w:color w:val="auto"/>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auto"/>
          <w:sz w:val="30"/>
          <w:szCs w:val="30"/>
        </w:rPr>
      </w:pPr>
      <w:r>
        <w:rPr>
          <w:rFonts w:hint="eastAsia" w:ascii="黑体" w:hAnsi="黑体" w:eastAsia="黑体"/>
          <w:b/>
          <w:color w:val="auto"/>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auto"/>
          <w:sz w:val="24"/>
        </w:rPr>
      </w:pPr>
      <w:r>
        <w:rPr>
          <w:rFonts w:hint="eastAsia" w:ascii="仿宋" w:hAnsi="仿宋" w:eastAsia="仿宋" w:cs="仿宋"/>
          <w:bCs/>
          <w:color w:val="auto"/>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color w:val="auto"/>
          <w:sz w:val="24"/>
        </w:rPr>
        <w:t>信函申请，请邮寄至新疆克州乌恰县光明路11号</w:t>
      </w:r>
      <w:r>
        <w:rPr>
          <w:rFonts w:hint="eastAsia" w:ascii="仿宋" w:hAnsi="仿宋" w:eastAsia="仿宋" w:cs="仿宋"/>
          <w:bCs/>
          <w:color w:val="auto"/>
          <w:sz w:val="24"/>
          <w:lang w:val="en-US" w:eastAsia="zh-CN"/>
        </w:rPr>
        <w:t>乌恰县财政局</w:t>
      </w:r>
      <w:r>
        <w:rPr>
          <w:rFonts w:hint="eastAsia" w:ascii="仿宋" w:hAnsi="仿宋" w:eastAsia="仿宋" w:cs="仿宋"/>
          <w:bCs/>
          <w:color w:val="auto"/>
          <w:sz w:val="24"/>
        </w:rPr>
        <w:t>，并在信封上注明“</w:t>
      </w:r>
      <w:r>
        <w:rPr>
          <w:rFonts w:hint="eastAsia" w:ascii="仿宋" w:hAnsi="仿宋" w:eastAsia="仿宋" w:cs="仿宋"/>
          <w:b/>
          <w:bCs w:val="0"/>
          <w:color w:val="auto"/>
          <w:sz w:val="24"/>
        </w:rPr>
        <w:t>政府信息公开</w:t>
      </w:r>
      <w:r>
        <w:rPr>
          <w:rFonts w:hint="eastAsia" w:ascii="仿宋" w:hAnsi="仿宋" w:eastAsia="仿宋" w:cs="仿宋"/>
          <w:bCs/>
          <w:color w:val="auto"/>
          <w:sz w:val="24"/>
        </w:rPr>
        <w:t>”。邮寄后请致电0908-4623075进行确认</w:t>
      </w:r>
      <w:r>
        <w:rPr>
          <w:rFonts w:hint="eastAsia" w:ascii="仿宋" w:hAnsi="仿宋" w:eastAsia="仿宋" w:cs="仿宋"/>
          <w:bCs/>
          <w:color w:val="auto"/>
          <w:sz w:val="24"/>
          <w:lang w:eastAsia="zh-CN"/>
        </w:rPr>
        <w:t>。</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13DB2"/>
    <w:rsid w:val="3181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2023-11-04T03:36:00Z</dcterms:created>
  <dc:creator>Administrator</dc:creator>
  <cp:lastModifiedBy>Administrator</cp:lastModifiedBy>
  <dcterms:modified xsi:type="dcterms:W3CDTF">2023-11-04T03:36:31Z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7087A354992B4F09A31DE46378FFDDA0</vt:lpwstr>
  </property>
</Properties>
</file>