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CF005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40"/>
        </w:rPr>
      </w:pPr>
    </w:p>
    <w:p w14:paraId="5770B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40"/>
        </w:rPr>
      </w:pPr>
    </w:p>
    <w:p w14:paraId="042F3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40"/>
        </w:rPr>
      </w:pPr>
    </w:p>
    <w:p w14:paraId="4B415E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40"/>
        </w:rPr>
      </w:pPr>
    </w:p>
    <w:p w14:paraId="0E259B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40"/>
        </w:rPr>
      </w:pPr>
    </w:p>
    <w:p w14:paraId="3E716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40"/>
        </w:rPr>
      </w:pPr>
    </w:p>
    <w:p w14:paraId="01FB8D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40"/>
        </w:rPr>
      </w:pPr>
    </w:p>
    <w:p w14:paraId="17BFD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40"/>
        </w:rPr>
      </w:pPr>
    </w:p>
    <w:p w14:paraId="38D69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40"/>
        </w:rPr>
      </w:pPr>
    </w:p>
    <w:p w14:paraId="59AA2B0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恰政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办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发〔202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〕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号</w:t>
      </w:r>
    </w:p>
    <w:p w14:paraId="35007E6D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78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40"/>
        </w:rPr>
      </w:pPr>
    </w:p>
    <w:p w14:paraId="3705EA6D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78" w:lineRule="exact"/>
        <w:ind w:left="0" w:leftChars="0" w:right="0" w:right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关于印发《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乌恰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县人民政府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年重大行政</w:t>
      </w:r>
    </w:p>
    <w:p w14:paraId="0A660F94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78" w:lineRule="exact"/>
        <w:ind w:left="0" w:leftChars="0" w:right="0" w:right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决策事项目录》的通知</w:t>
      </w:r>
    </w:p>
    <w:p w14:paraId="5D80DE6D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78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</w:rPr>
      </w:pPr>
    </w:p>
    <w:p w14:paraId="54F4DB58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78" w:lineRule="exact"/>
        <w:ind w:left="0" w:leftChars="0" w:right="0" w:rightChars="0"/>
        <w:textAlignment w:val="auto"/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各乡</w:t>
      </w:r>
      <w:r>
        <w:rPr>
          <w:rFonts w:hint="eastAsia" w:eastAsia="方正仿宋_GBK" w:cs="Times New Roman"/>
          <w:sz w:val="32"/>
          <w:szCs w:val="40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镇</w:t>
      </w:r>
      <w:r>
        <w:rPr>
          <w:rFonts w:hint="eastAsia" w:eastAsia="方正仿宋_GBK" w:cs="Times New Roman"/>
          <w:sz w:val="32"/>
          <w:szCs w:val="40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人民政府，县人民政府各部门、县直</w:t>
      </w:r>
      <w:r>
        <w:rPr>
          <w:rFonts w:hint="eastAsia" w:eastAsia="方正仿宋_GBK" w:cs="Times New Roman"/>
          <w:sz w:val="32"/>
          <w:szCs w:val="40"/>
          <w:lang w:val="en-US" w:eastAsia="zh-CN"/>
        </w:rPr>
        <w:t>各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单位</w:t>
      </w:r>
      <w:r>
        <w:rPr>
          <w:rFonts w:hint="eastAsia" w:eastAsia="方正仿宋_GBK" w:cs="Times New Roman"/>
          <w:sz w:val="32"/>
          <w:szCs w:val="40"/>
          <w:lang w:eastAsia="zh-CN"/>
        </w:rPr>
        <w:t>：</w:t>
      </w:r>
    </w:p>
    <w:p w14:paraId="2827620C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78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为规范重大行政决策程序，推进科学决策、民主决策、依法决策，根据《重大行政决策程序暂行条例》和《新疆维吾尔自治区重大行政决策程序规定》要求，经</w:t>
      </w:r>
      <w:r>
        <w:rPr>
          <w:rFonts w:hint="eastAsia" w:eastAsia="方正仿宋_GBK" w:cs="Times New Roman"/>
          <w:sz w:val="32"/>
          <w:szCs w:val="40"/>
          <w:lang w:val="en-US" w:eastAsia="zh-CN"/>
        </w:rPr>
        <w:t>县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人民政府</w:t>
      </w:r>
      <w:r>
        <w:rPr>
          <w:rFonts w:hint="eastAsia" w:eastAsia="方正仿宋_GBK" w:cs="Times New Roman"/>
          <w:sz w:val="32"/>
          <w:szCs w:val="40"/>
          <w:lang w:val="en-US" w:eastAsia="zh-CN"/>
        </w:rPr>
        <w:t>研究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同意，现将《</w:t>
      </w:r>
      <w:r>
        <w:rPr>
          <w:rFonts w:hint="eastAsia" w:eastAsia="方正仿宋_GBK" w:cs="Times New Roman"/>
          <w:sz w:val="32"/>
          <w:szCs w:val="40"/>
          <w:lang w:val="en-US" w:eastAsia="zh-CN"/>
        </w:rPr>
        <w:t>乌恰县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人民政府202</w:t>
      </w:r>
      <w:r>
        <w:rPr>
          <w:rFonts w:hint="default" w:eastAsia="方正仿宋_GBK" w:cs="Times New Roman"/>
          <w:sz w:val="32"/>
          <w:szCs w:val="40"/>
          <w:lang w:val="e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年重大行政决策事项目录》（以下简称《目录》）印发给你们，</w:t>
      </w:r>
      <w:r>
        <w:rPr>
          <w:rFonts w:hint="eastAsia" w:eastAsia="方正仿宋_GBK" w:cs="Times New Roman"/>
          <w:sz w:val="32"/>
          <w:szCs w:val="40"/>
          <w:lang w:val="en-US" w:eastAsia="zh-CN"/>
        </w:rPr>
        <w:t>并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就有关工作通知如下</w:t>
      </w:r>
      <w:r>
        <w:rPr>
          <w:rFonts w:hint="eastAsia" w:eastAsia="方正仿宋_GBK" w:cs="Times New Roman"/>
          <w:sz w:val="32"/>
          <w:szCs w:val="40"/>
          <w:lang w:eastAsia="zh-CN"/>
        </w:rPr>
        <w:t>：</w:t>
      </w:r>
    </w:p>
    <w:p w14:paraId="235B00CE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78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一、决策事项承办单位要严格按照《目录》</w:t>
      </w:r>
      <w:r>
        <w:rPr>
          <w:rFonts w:hint="eastAsia" w:eastAsia="方正仿宋_GBK" w:cs="Times New Roman"/>
          <w:sz w:val="32"/>
          <w:szCs w:val="40"/>
          <w:lang w:eastAsia="zh-CN"/>
        </w:rPr>
        <w:t>中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明确的</w:t>
      </w:r>
      <w:r>
        <w:rPr>
          <w:rFonts w:hint="eastAsia" w:eastAsia="方正仿宋_GBK" w:cs="Times New Roman"/>
          <w:sz w:val="32"/>
          <w:szCs w:val="40"/>
          <w:lang w:val="en-US" w:eastAsia="zh-CN"/>
        </w:rPr>
        <w:t>六</w:t>
      </w:r>
      <w:r>
        <w:rPr>
          <w:rFonts w:hint="eastAsia" w:eastAsia="方正仿宋_GBK" w:cs="Times New Roman"/>
          <w:sz w:val="32"/>
          <w:szCs w:val="40"/>
          <w:lang w:eastAsia="zh-CN"/>
        </w:rPr>
        <w:t>项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内容，认真组织实施重大行政决策事项，严格履行公众参与、专家论证、</w:t>
      </w:r>
      <w:r>
        <w:rPr>
          <w:rFonts w:hint="eastAsia" w:eastAsia="方正仿宋_GBK" w:cs="Times New Roman"/>
          <w:sz w:val="32"/>
          <w:szCs w:val="40"/>
          <w:lang w:val="en-US" w:eastAsia="zh-CN"/>
        </w:rPr>
        <w:t>风险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评估、合法性审查、集体讨论决定及决策公布等法定程序，确保决策内容合法合规、程序规范有序、责任落实到位，切实提升决策质量和效率。</w:t>
      </w:r>
    </w:p>
    <w:p w14:paraId="0832D048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78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二、重大行政决策程序事项目录实行动态管理，因工作需要确需调整或新增重大行政决策事项的，承办单位须严格依照《新疆维吾尔自治区重大行政决策程序规定》《新疆维吾尔自治区重大行政决策事项目录管理暂行办法》相关要求办理，确保目录调整规范有序。</w:t>
      </w:r>
    </w:p>
    <w:p w14:paraId="63F94176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78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三、</w:t>
      </w:r>
      <w:r>
        <w:rPr>
          <w:rFonts w:hint="eastAsia" w:eastAsia="方正仿宋_GBK" w:cs="Times New Roman"/>
          <w:sz w:val="32"/>
          <w:szCs w:val="40"/>
          <w:lang w:val="en-US" w:eastAsia="zh-CN"/>
        </w:rPr>
        <w:t>县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司法局要切实履行组织协调、指导监督职责，督促承办单位加强决策过程管理，严格按照时间节点推进工作，确保决策事项落地落实。同时承办单位要负责做好决策档案管理</w:t>
      </w:r>
      <w:r>
        <w:rPr>
          <w:rFonts w:hint="eastAsia" w:eastAsia="方正仿宋_GBK" w:cs="Times New Roman"/>
          <w:sz w:val="32"/>
          <w:szCs w:val="40"/>
          <w:lang w:val="en-US" w:eastAsia="zh-CN"/>
        </w:rPr>
        <w:t>工作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，将履行决策程序形成的记录、材料及时完整归档，实现决策程序全过程可追溯、可核查。</w:t>
      </w:r>
    </w:p>
    <w:p w14:paraId="17E5434B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78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</w:rPr>
      </w:pPr>
    </w:p>
    <w:p w14:paraId="3C4B06CE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78" w:lineRule="exact"/>
        <w:ind w:left="0" w:leftChars="0" w:right="0" w:rightChars="0" w:firstLine="640" w:firstLineChars="200"/>
        <w:textAlignment w:val="auto"/>
        <w:rPr>
          <w:rFonts w:hint="eastAsia" w:eastAsia="方正仿宋_GBK" w:cs="Times New Roman"/>
          <w:sz w:val="32"/>
          <w:szCs w:val="40"/>
          <w:lang w:val="en-US" w:eastAsia="zh-CN"/>
        </w:rPr>
      </w:pPr>
      <w:r>
        <w:rPr>
          <w:rFonts w:hint="eastAsia" w:eastAsia="方正仿宋_GBK" w:cs="Times New Roman"/>
          <w:sz w:val="32"/>
          <w:szCs w:val="40"/>
          <w:lang w:val="en-US" w:eastAsia="zh-CN"/>
        </w:rPr>
        <w:t>附件：乌恰县人民政府202</w:t>
      </w:r>
      <w:r>
        <w:rPr>
          <w:rFonts w:hint="default" w:eastAsia="方正仿宋_GBK" w:cs="Times New Roman"/>
          <w:sz w:val="32"/>
          <w:szCs w:val="40"/>
          <w:lang w:val="en" w:eastAsia="zh-CN"/>
        </w:rPr>
        <w:t>6</w:t>
      </w:r>
      <w:r>
        <w:rPr>
          <w:rFonts w:hint="eastAsia" w:eastAsia="方正仿宋_GBK" w:cs="Times New Roman"/>
          <w:sz w:val="32"/>
          <w:szCs w:val="40"/>
          <w:lang w:val="en-US" w:eastAsia="zh-CN"/>
        </w:rPr>
        <w:t>年重大行政决策事项目录</w:t>
      </w:r>
    </w:p>
    <w:p w14:paraId="4863C2C0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78" w:lineRule="exact"/>
        <w:ind w:right="0" w:rightChars="0"/>
        <w:textAlignment w:val="auto"/>
        <w:rPr>
          <w:rFonts w:hint="eastAsia" w:eastAsia="方正仿宋_GBK" w:cs="Times New Roman"/>
          <w:sz w:val="32"/>
          <w:szCs w:val="40"/>
          <w:lang w:val="en-US" w:eastAsia="zh-CN"/>
        </w:rPr>
      </w:pPr>
    </w:p>
    <w:p w14:paraId="6C77B403">
      <w:pPr>
        <w:pStyle w:val="2"/>
        <w:rPr>
          <w:rFonts w:hint="eastAsia"/>
          <w:lang w:val="en-US" w:eastAsia="zh-CN"/>
        </w:rPr>
      </w:pPr>
    </w:p>
    <w:p w14:paraId="59F443E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pacing w:line="578" w:lineRule="exact"/>
        <w:ind w:left="0" w:leftChars="0" w:right="0" w:rightChars="0"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eastAsia" w:eastAsia="方正仿宋_GBK" w:cs="Times New Roman"/>
          <w:sz w:val="32"/>
          <w:szCs w:val="40"/>
          <w:lang w:val="en-US" w:eastAsia="zh-CN"/>
        </w:rPr>
        <w:t>202</w:t>
      </w:r>
      <w:r>
        <w:rPr>
          <w:rFonts w:hint="default" w:eastAsia="方正仿宋_GBK" w:cs="Times New Roman"/>
          <w:sz w:val="32"/>
          <w:szCs w:val="40"/>
          <w:lang w:val="en" w:eastAsia="zh-CN"/>
        </w:rPr>
        <w:t>6</w:t>
      </w:r>
      <w:r>
        <w:rPr>
          <w:rFonts w:hint="eastAsia" w:eastAsia="方正仿宋_GBK" w:cs="Times New Roman"/>
          <w:sz w:val="32"/>
          <w:szCs w:val="40"/>
          <w:lang w:val="en-US" w:eastAsia="zh-CN"/>
        </w:rPr>
        <w:t>年</w:t>
      </w:r>
      <w:r>
        <w:rPr>
          <w:rFonts w:hint="default" w:eastAsia="方正仿宋_GBK" w:cs="Times New Roman"/>
          <w:sz w:val="32"/>
          <w:szCs w:val="40"/>
          <w:lang w:val="en" w:eastAsia="zh-CN"/>
        </w:rPr>
        <w:t>8</w:t>
      </w:r>
      <w:r>
        <w:rPr>
          <w:rFonts w:hint="eastAsia" w:eastAsia="方正仿宋_GBK" w:cs="Times New Roman"/>
          <w:sz w:val="32"/>
          <w:szCs w:val="40"/>
          <w:lang w:val="en-US" w:eastAsia="zh-CN"/>
        </w:rPr>
        <w:t>月</w:t>
      </w:r>
      <w:r>
        <w:rPr>
          <w:rFonts w:hint="default" w:eastAsia="方正仿宋_GBK" w:cs="Times New Roman"/>
          <w:sz w:val="32"/>
          <w:szCs w:val="40"/>
          <w:lang w:val="en" w:eastAsia="zh-CN"/>
        </w:rPr>
        <w:t>2</w:t>
      </w:r>
      <w:r>
        <w:rPr>
          <w:rFonts w:hint="eastAsia" w:eastAsia="方正仿宋_GBK" w:cs="Times New Roman"/>
          <w:sz w:val="32"/>
          <w:szCs w:val="40"/>
          <w:lang w:val="en-US" w:eastAsia="zh-CN"/>
        </w:rPr>
        <w:t xml:space="preserve">7日        </w:t>
      </w:r>
    </w:p>
    <w:p w14:paraId="0690D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40"/>
          <w:lang w:val="en-US" w:eastAsia="zh-CN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2098" w:right="1531" w:bottom="1984" w:left="1531" w:header="851" w:footer="992" w:gutter="0"/>
          <w:pgNumType w:fmt="decimal"/>
          <w:cols w:space="720" w:num="1"/>
          <w:docGrid w:type="lines" w:linePitch="312" w:charSpace="0"/>
        </w:sectPr>
      </w:pPr>
    </w:p>
    <w:p w14:paraId="65AEB594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78" w:lineRule="exact"/>
        <w:ind w:right="0" w:rightChars="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</w:t>
      </w:r>
    </w:p>
    <w:p w14:paraId="185968BC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78" w:lineRule="exact"/>
        <w:ind w:right="0" w:rightChars="0"/>
        <w:textAlignment w:val="auto"/>
        <w:rPr>
          <w:rFonts w:hint="eastAsia" w:eastAsia="方正仿宋_GBK" w:cs="Times New Roman"/>
          <w:sz w:val="32"/>
          <w:szCs w:val="40"/>
          <w:lang w:val="en-US" w:eastAsia="zh-CN"/>
        </w:rPr>
      </w:pPr>
    </w:p>
    <w:p w14:paraId="655F62F1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78" w:lineRule="exact"/>
        <w:ind w:right="0" w:rightChars="0"/>
        <w:jc w:val="both"/>
        <w:textAlignment w:val="auto"/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val="en-US" w:eastAsia="zh-CN"/>
        </w:rPr>
        <w:t>乌恰县人民政府</w:t>
      </w:r>
      <w:r>
        <w:rPr>
          <w:rFonts w:hint="default" w:ascii="Times New Roman" w:hAnsi="Times New Roman" w:eastAsia="方正小标宋_GBK" w:cs="Times New Roman"/>
          <w:spacing w:val="-6"/>
          <w:sz w:val="44"/>
          <w:szCs w:val="44"/>
          <w:lang w:val="en-US" w:eastAsia="zh-CN"/>
        </w:rPr>
        <w:t>202</w:t>
      </w:r>
      <w:bookmarkStart w:id="1" w:name="_GoBack"/>
      <w:bookmarkEnd w:id="1"/>
      <w:r>
        <w:rPr>
          <w:rFonts w:hint="default" w:ascii="Times New Roman" w:hAnsi="Times New Roman" w:eastAsia="方正小标宋_GBK" w:cs="Times New Roman"/>
          <w:spacing w:val="-6"/>
          <w:sz w:val="44"/>
          <w:szCs w:val="44"/>
          <w:lang w:val="en" w:eastAsia="zh-CN"/>
        </w:rPr>
        <w:t>6</w:t>
      </w: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val="en-US" w:eastAsia="zh-CN"/>
        </w:rPr>
        <w:t>年重大行政决策事项目录</w:t>
      </w:r>
    </w:p>
    <w:p w14:paraId="07676B4C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78" w:lineRule="exact"/>
        <w:ind w:right="0" w:rightChars="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3636"/>
        <w:gridCol w:w="2208"/>
        <w:gridCol w:w="1692"/>
        <w:gridCol w:w="804"/>
      </w:tblGrid>
      <w:tr w14:paraId="1F7CF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20" w:type="dxa"/>
            <w:vAlign w:val="center"/>
          </w:tcPr>
          <w:p w14:paraId="328E5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636" w:type="dxa"/>
            <w:vAlign w:val="center"/>
          </w:tcPr>
          <w:p w14:paraId="434BB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决策事项名称</w:t>
            </w:r>
          </w:p>
        </w:tc>
        <w:tc>
          <w:tcPr>
            <w:tcW w:w="2208" w:type="dxa"/>
            <w:vAlign w:val="center"/>
          </w:tcPr>
          <w:p w14:paraId="79231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决策承办单位</w:t>
            </w:r>
          </w:p>
        </w:tc>
        <w:tc>
          <w:tcPr>
            <w:tcW w:w="1692" w:type="dxa"/>
            <w:vAlign w:val="center"/>
          </w:tcPr>
          <w:p w14:paraId="52356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拟完成时间</w:t>
            </w:r>
          </w:p>
        </w:tc>
        <w:tc>
          <w:tcPr>
            <w:tcW w:w="804" w:type="dxa"/>
            <w:vAlign w:val="center"/>
          </w:tcPr>
          <w:p w14:paraId="2F066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6190C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720" w:type="dxa"/>
            <w:vAlign w:val="center"/>
          </w:tcPr>
          <w:p w14:paraId="2FBE6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636" w:type="dxa"/>
            <w:vAlign w:val="center"/>
          </w:tcPr>
          <w:p w14:paraId="1682F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乌恰县2026年国民经济和社会发展计划执行情况与2027年国民经济和社会发展计划草案的报告</w:t>
            </w:r>
          </w:p>
        </w:tc>
        <w:tc>
          <w:tcPr>
            <w:tcW w:w="2208" w:type="dxa"/>
            <w:vAlign w:val="center"/>
          </w:tcPr>
          <w:p w14:paraId="61D0C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县发改委</w:t>
            </w:r>
          </w:p>
        </w:tc>
        <w:tc>
          <w:tcPr>
            <w:tcW w:w="1692" w:type="dxa"/>
            <w:vAlign w:val="center"/>
          </w:tcPr>
          <w:p w14:paraId="163EB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2026年12月</w:t>
            </w:r>
          </w:p>
        </w:tc>
        <w:tc>
          <w:tcPr>
            <w:tcW w:w="804" w:type="dxa"/>
            <w:vAlign w:val="center"/>
          </w:tcPr>
          <w:p w14:paraId="08E0C3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1F448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720" w:type="dxa"/>
            <w:vAlign w:val="center"/>
          </w:tcPr>
          <w:p w14:paraId="5E87A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636" w:type="dxa"/>
            <w:vAlign w:val="center"/>
          </w:tcPr>
          <w:p w14:paraId="6D056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《乌恰县能源产业发展规划（2026-20</w:t>
            </w:r>
            <w:r>
              <w:rPr>
                <w:rFonts w:hint="eastAsia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）》</w:t>
            </w:r>
          </w:p>
        </w:tc>
        <w:tc>
          <w:tcPr>
            <w:tcW w:w="2208" w:type="dxa"/>
            <w:vAlign w:val="center"/>
          </w:tcPr>
          <w:p w14:paraId="5D697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县发改委</w:t>
            </w:r>
          </w:p>
        </w:tc>
        <w:tc>
          <w:tcPr>
            <w:tcW w:w="1692" w:type="dxa"/>
            <w:vAlign w:val="center"/>
          </w:tcPr>
          <w:p w14:paraId="29CD1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2026年12月</w:t>
            </w:r>
          </w:p>
        </w:tc>
        <w:tc>
          <w:tcPr>
            <w:tcW w:w="804" w:type="dxa"/>
            <w:vAlign w:val="center"/>
          </w:tcPr>
          <w:p w14:paraId="2C389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2A80D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720" w:type="dxa"/>
            <w:vAlign w:val="center"/>
          </w:tcPr>
          <w:p w14:paraId="61160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636" w:type="dxa"/>
            <w:vAlign w:val="center"/>
          </w:tcPr>
          <w:p w14:paraId="180D1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乌恰县2026年固定资产投资项目谋划情况报告</w:t>
            </w:r>
          </w:p>
        </w:tc>
        <w:tc>
          <w:tcPr>
            <w:tcW w:w="2208" w:type="dxa"/>
            <w:vAlign w:val="center"/>
          </w:tcPr>
          <w:p w14:paraId="31797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县发改委</w:t>
            </w:r>
          </w:p>
        </w:tc>
        <w:tc>
          <w:tcPr>
            <w:tcW w:w="1692" w:type="dxa"/>
            <w:vAlign w:val="center"/>
          </w:tcPr>
          <w:p w14:paraId="728B8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2026年3月</w:t>
            </w:r>
          </w:p>
        </w:tc>
        <w:tc>
          <w:tcPr>
            <w:tcW w:w="804" w:type="dxa"/>
            <w:vAlign w:val="center"/>
          </w:tcPr>
          <w:p w14:paraId="1F300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40330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720" w:type="dxa"/>
            <w:vAlign w:val="center"/>
          </w:tcPr>
          <w:p w14:paraId="3092C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636" w:type="dxa"/>
            <w:vAlign w:val="center"/>
          </w:tcPr>
          <w:p w14:paraId="1260C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乌恰县2026年以工代赈项目申报</w:t>
            </w:r>
          </w:p>
        </w:tc>
        <w:tc>
          <w:tcPr>
            <w:tcW w:w="2208" w:type="dxa"/>
            <w:vAlign w:val="center"/>
          </w:tcPr>
          <w:p w14:paraId="29DEA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县发改委</w:t>
            </w:r>
          </w:p>
        </w:tc>
        <w:tc>
          <w:tcPr>
            <w:tcW w:w="1692" w:type="dxa"/>
            <w:vAlign w:val="center"/>
          </w:tcPr>
          <w:p w14:paraId="784CC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2026年7月</w:t>
            </w:r>
          </w:p>
        </w:tc>
        <w:tc>
          <w:tcPr>
            <w:tcW w:w="804" w:type="dxa"/>
            <w:vAlign w:val="center"/>
          </w:tcPr>
          <w:p w14:paraId="579E0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77881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720" w:type="dxa"/>
            <w:vAlign w:val="center"/>
          </w:tcPr>
          <w:p w14:paraId="549A3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636" w:type="dxa"/>
            <w:vAlign w:val="center"/>
          </w:tcPr>
          <w:p w14:paraId="45327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《乌恰县玉其塔什，小尚亥3A级草原景区门票价格调整》</w:t>
            </w:r>
          </w:p>
        </w:tc>
        <w:tc>
          <w:tcPr>
            <w:tcW w:w="2208" w:type="dxa"/>
            <w:vAlign w:val="center"/>
          </w:tcPr>
          <w:p w14:paraId="54B2D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县发改委</w:t>
            </w:r>
          </w:p>
        </w:tc>
        <w:tc>
          <w:tcPr>
            <w:tcW w:w="1692" w:type="dxa"/>
            <w:vAlign w:val="center"/>
          </w:tcPr>
          <w:p w14:paraId="2E489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2026年9月</w:t>
            </w:r>
          </w:p>
        </w:tc>
        <w:tc>
          <w:tcPr>
            <w:tcW w:w="804" w:type="dxa"/>
            <w:vAlign w:val="center"/>
          </w:tcPr>
          <w:p w14:paraId="1DDF2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73402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720" w:type="dxa"/>
            <w:vAlign w:val="center"/>
          </w:tcPr>
          <w:p w14:paraId="791BC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636" w:type="dxa"/>
            <w:vAlign w:val="center"/>
          </w:tcPr>
          <w:p w14:paraId="503CA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制定《乌恰县小尚亥景区区间车价格》</w:t>
            </w:r>
          </w:p>
        </w:tc>
        <w:tc>
          <w:tcPr>
            <w:tcW w:w="2208" w:type="dxa"/>
            <w:vAlign w:val="center"/>
          </w:tcPr>
          <w:p w14:paraId="6C5A9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县发改委</w:t>
            </w:r>
          </w:p>
        </w:tc>
        <w:tc>
          <w:tcPr>
            <w:tcW w:w="1692" w:type="dxa"/>
            <w:vAlign w:val="center"/>
          </w:tcPr>
          <w:p w14:paraId="65012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2026年9月</w:t>
            </w:r>
          </w:p>
        </w:tc>
        <w:tc>
          <w:tcPr>
            <w:tcW w:w="804" w:type="dxa"/>
            <w:vAlign w:val="center"/>
          </w:tcPr>
          <w:p w14:paraId="4D01B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 w14:paraId="3C5DB549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78" w:lineRule="exact"/>
        <w:ind w:left="0" w:leftChars="0" w:right="0" w:rightChars="0" w:firstLine="640" w:firstLineChars="200"/>
        <w:textAlignment w:val="auto"/>
        <w:rPr>
          <w:rFonts w:hint="eastAsia" w:eastAsia="方正仿宋_GBK" w:cs="Times New Roman"/>
          <w:sz w:val="32"/>
          <w:szCs w:val="40"/>
          <w:lang w:val="en-US" w:eastAsia="zh-CN"/>
        </w:rPr>
      </w:pPr>
    </w:p>
    <w:p w14:paraId="0EEFFF78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78" w:lineRule="exact"/>
        <w:ind w:left="0" w:leftChars="0" w:right="0" w:rightChars="0" w:firstLine="640" w:firstLineChars="200"/>
        <w:textAlignment w:val="auto"/>
        <w:rPr>
          <w:rFonts w:hint="eastAsia" w:eastAsia="方正仿宋_GBK" w:cs="Times New Roman"/>
          <w:sz w:val="32"/>
          <w:szCs w:val="40"/>
          <w:lang w:val="en-US" w:eastAsia="zh-CN"/>
        </w:rPr>
      </w:pPr>
    </w:p>
    <w:p w14:paraId="5CEE4931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78" w:lineRule="exact"/>
        <w:ind w:left="0" w:leftChars="0" w:right="0" w:rightChars="0" w:firstLine="640" w:firstLineChars="200"/>
        <w:textAlignment w:val="auto"/>
        <w:rPr>
          <w:rFonts w:hint="eastAsia" w:eastAsia="方正仿宋_GBK" w:cs="Times New Roman"/>
          <w:sz w:val="32"/>
          <w:szCs w:val="40"/>
          <w:lang w:val="en-US" w:eastAsia="zh-CN"/>
        </w:rPr>
      </w:pPr>
    </w:p>
    <w:p w14:paraId="772A5B18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78" w:lineRule="exact"/>
        <w:ind w:left="0" w:leftChars="0" w:right="0" w:rightChars="0" w:firstLine="640" w:firstLineChars="200"/>
        <w:textAlignment w:val="auto"/>
        <w:rPr>
          <w:rFonts w:hint="eastAsia" w:eastAsia="方正仿宋_GBK" w:cs="Times New Roman"/>
          <w:sz w:val="32"/>
          <w:szCs w:val="40"/>
          <w:lang w:val="en-US" w:eastAsia="zh-CN"/>
        </w:rPr>
      </w:pPr>
    </w:p>
    <w:p w14:paraId="31833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1257" w:leftChars="0" w:right="0" w:rightChars="0" w:hanging="1257" w:hangingChars="393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</w:p>
    <w:tbl>
      <w:tblPr>
        <w:tblStyle w:val="9"/>
        <w:tblpPr w:leftFromText="181" w:rightFromText="181" w:horzAnchor="page" w:tblpX="1508" w:tblpYSpec="bottom"/>
        <w:tblOverlap w:val="never"/>
        <w:tblW w:w="9060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4DFC369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60" w:type="dxa"/>
            <w:tcBorders>
              <w:tl2br w:val="nil"/>
              <w:tr2bl w:val="nil"/>
            </w:tcBorders>
            <w:noWrap w:val="0"/>
            <w:vAlign w:val="top"/>
          </w:tcPr>
          <w:p w14:paraId="6108F5A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 w:leftChars="0" w:right="0" w:rightChars="0" w:firstLine="280" w:firstLineChars="10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pacing w:val="0"/>
                <w:sz w:val="28"/>
                <w:szCs w:val="36"/>
                <w:vertAlign w:val="baseline"/>
                <w:lang w:val="en-US" w:eastAsia="zh-CN"/>
              </w:rPr>
            </w:pPr>
            <w:bookmarkStart w:id="0" w:name="OLE_LINK65"/>
            <w:r>
              <w:rPr>
                <w:rFonts w:hint="default" w:ascii="Times New Roman" w:hAnsi="Times New Roman" w:eastAsia="方正仿宋_GBK" w:cs="Times New Roman"/>
                <w:spacing w:val="0"/>
                <w:sz w:val="28"/>
                <w:szCs w:val="36"/>
                <w:vertAlign w:val="baseline"/>
                <w:lang w:val="en-US" w:eastAsia="zh-CN"/>
              </w:rPr>
              <w:t xml:space="preserve">乌恰县人民政府办公室                </w:t>
            </w:r>
            <w:r>
              <w:rPr>
                <w:rFonts w:hint="eastAsia" w:ascii="Times New Roman" w:hAnsi="Times New Roman" w:eastAsia="方正仿宋_GBK" w:cs="Times New Roman"/>
                <w:spacing w:val="0"/>
                <w:sz w:val="28"/>
                <w:szCs w:val="36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pacing w:val="0"/>
                <w:sz w:val="28"/>
                <w:szCs w:val="36"/>
                <w:vertAlign w:val="baseline"/>
                <w:lang w:val="en-US" w:eastAsia="zh-CN"/>
              </w:rPr>
              <w:t xml:space="preserve">    202</w:t>
            </w:r>
            <w:r>
              <w:rPr>
                <w:rFonts w:hint="eastAsia" w:eastAsia="方正仿宋_GBK" w:cs="Times New Roman"/>
                <w:spacing w:val="0"/>
                <w:sz w:val="28"/>
                <w:szCs w:val="36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spacing w:val="0"/>
                <w:sz w:val="28"/>
                <w:szCs w:val="36"/>
                <w:vertAlign w:val="baseline"/>
                <w:lang w:val="en-US" w:eastAsia="zh-CN"/>
              </w:rPr>
              <w:t>年</w:t>
            </w:r>
            <w:r>
              <w:rPr>
                <w:rFonts w:hint="eastAsia" w:eastAsia="方正仿宋_GBK" w:cs="Times New Roman"/>
                <w:spacing w:val="0"/>
                <w:sz w:val="28"/>
                <w:szCs w:val="36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spacing w:val="0"/>
                <w:sz w:val="28"/>
                <w:szCs w:val="36"/>
                <w:vertAlign w:val="baseline"/>
                <w:lang w:val="en-US" w:eastAsia="zh-CN"/>
              </w:rPr>
              <w:t>月</w:t>
            </w:r>
            <w:r>
              <w:rPr>
                <w:rFonts w:hint="eastAsia" w:eastAsia="方正仿宋_GBK" w:cs="Times New Roman"/>
                <w:spacing w:val="0"/>
                <w:sz w:val="28"/>
                <w:szCs w:val="36"/>
                <w:vertAlign w:val="baseline"/>
                <w:lang w:val="en-US" w:eastAsia="zh-CN"/>
              </w:rPr>
              <w:t>27</w:t>
            </w:r>
            <w:r>
              <w:rPr>
                <w:rFonts w:hint="default" w:ascii="Times New Roman" w:hAnsi="Times New Roman" w:eastAsia="方正仿宋_GBK" w:cs="Times New Roman"/>
                <w:spacing w:val="0"/>
                <w:sz w:val="28"/>
                <w:szCs w:val="36"/>
                <w:vertAlign w:val="baseline"/>
                <w:lang w:val="en-US" w:eastAsia="zh-CN"/>
              </w:rPr>
              <w:t>日印发</w:t>
            </w:r>
          </w:p>
        </w:tc>
      </w:tr>
      <w:bookmarkEnd w:id="0"/>
    </w:tbl>
    <w:p w14:paraId="271B1158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 w:val="0"/>
        <w:spacing w:line="578" w:lineRule="exact"/>
        <w:ind w:left="0" w:leftChars="0" w:right="0" w:rightChars="0"/>
        <w:jc w:val="left"/>
        <w:textAlignment w:val="auto"/>
        <w:rPr>
          <w:rFonts w:ascii="仿宋_GB2312" w:eastAsia="仿宋_GB2312"/>
          <w:sz w:val="30"/>
          <w:szCs w:val="30"/>
        </w:rPr>
      </w:pPr>
    </w:p>
    <w:sectPr>
      <w:pgSz w:w="11906" w:h="16838"/>
      <w:pgMar w:top="2098" w:right="1531" w:bottom="1984" w:left="153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Yb2gj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F500CF">
    <w:pPr>
      <w:pStyle w:val="6"/>
      <w:tabs>
        <w:tab w:val="clear" w:pos="4153"/>
        <w:tab w:val="clear" w:pos="8306"/>
      </w:tabs>
      <w:ind w:firstLine="7840" w:firstLineChars="2800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22E803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22E803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E3171C">
    <w:pPr>
      <w:pStyle w:val="6"/>
      <w:ind w:firstLine="280" w:firstLineChars="100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2AB7C9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2AB7C9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B6C3A7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6BD268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20A49"/>
    <w:rsid w:val="00062E0D"/>
    <w:rsid w:val="00064B9E"/>
    <w:rsid w:val="000704EC"/>
    <w:rsid w:val="000954A8"/>
    <w:rsid w:val="000B2D4D"/>
    <w:rsid w:val="000C053A"/>
    <w:rsid w:val="00152C5A"/>
    <w:rsid w:val="00155D75"/>
    <w:rsid w:val="00162E7D"/>
    <w:rsid w:val="00172A27"/>
    <w:rsid w:val="00174EAF"/>
    <w:rsid w:val="00210FD4"/>
    <w:rsid w:val="00211E83"/>
    <w:rsid w:val="00215754"/>
    <w:rsid w:val="002652F3"/>
    <w:rsid w:val="002B7164"/>
    <w:rsid w:val="002D0CD3"/>
    <w:rsid w:val="002D1006"/>
    <w:rsid w:val="003002FC"/>
    <w:rsid w:val="00307F74"/>
    <w:rsid w:val="00363CCB"/>
    <w:rsid w:val="00414059"/>
    <w:rsid w:val="00422CD0"/>
    <w:rsid w:val="00432602"/>
    <w:rsid w:val="00445755"/>
    <w:rsid w:val="00455B11"/>
    <w:rsid w:val="00533ADC"/>
    <w:rsid w:val="00551CC9"/>
    <w:rsid w:val="005630F8"/>
    <w:rsid w:val="005E0714"/>
    <w:rsid w:val="005F1DC0"/>
    <w:rsid w:val="006147AF"/>
    <w:rsid w:val="00690C91"/>
    <w:rsid w:val="00693A09"/>
    <w:rsid w:val="006B274A"/>
    <w:rsid w:val="006D1F38"/>
    <w:rsid w:val="00715E28"/>
    <w:rsid w:val="007322B1"/>
    <w:rsid w:val="0074796F"/>
    <w:rsid w:val="007533DE"/>
    <w:rsid w:val="007D5911"/>
    <w:rsid w:val="007E4F06"/>
    <w:rsid w:val="007E7766"/>
    <w:rsid w:val="00893C69"/>
    <w:rsid w:val="008B421E"/>
    <w:rsid w:val="008B4E19"/>
    <w:rsid w:val="008D39F9"/>
    <w:rsid w:val="008D3B31"/>
    <w:rsid w:val="00920180"/>
    <w:rsid w:val="0092400C"/>
    <w:rsid w:val="00940B42"/>
    <w:rsid w:val="00982A89"/>
    <w:rsid w:val="009834D8"/>
    <w:rsid w:val="0099408B"/>
    <w:rsid w:val="009F295F"/>
    <w:rsid w:val="00A5742E"/>
    <w:rsid w:val="00A72F72"/>
    <w:rsid w:val="00A847D6"/>
    <w:rsid w:val="00A93E03"/>
    <w:rsid w:val="00AB13C8"/>
    <w:rsid w:val="00AB20FC"/>
    <w:rsid w:val="00AE5436"/>
    <w:rsid w:val="00AF5AAC"/>
    <w:rsid w:val="00B7084D"/>
    <w:rsid w:val="00B73EC2"/>
    <w:rsid w:val="00B974C6"/>
    <w:rsid w:val="00BA3EE4"/>
    <w:rsid w:val="00BA5738"/>
    <w:rsid w:val="00BD0731"/>
    <w:rsid w:val="00C6313F"/>
    <w:rsid w:val="00CB30B4"/>
    <w:rsid w:val="00D51F7C"/>
    <w:rsid w:val="00D72B35"/>
    <w:rsid w:val="00E07D66"/>
    <w:rsid w:val="00E249A6"/>
    <w:rsid w:val="00E25C26"/>
    <w:rsid w:val="00F42444"/>
    <w:rsid w:val="00F545CB"/>
    <w:rsid w:val="00F652C0"/>
    <w:rsid w:val="00FF0BEB"/>
    <w:rsid w:val="06B81A7A"/>
    <w:rsid w:val="090E3F99"/>
    <w:rsid w:val="09703F75"/>
    <w:rsid w:val="09D1582A"/>
    <w:rsid w:val="0B48200D"/>
    <w:rsid w:val="0DFA7759"/>
    <w:rsid w:val="10632428"/>
    <w:rsid w:val="114B716B"/>
    <w:rsid w:val="206A4D39"/>
    <w:rsid w:val="20B9542D"/>
    <w:rsid w:val="20E75288"/>
    <w:rsid w:val="213F3A97"/>
    <w:rsid w:val="21543057"/>
    <w:rsid w:val="220A0AE9"/>
    <w:rsid w:val="2490178C"/>
    <w:rsid w:val="27270D50"/>
    <w:rsid w:val="27A15D10"/>
    <w:rsid w:val="2B057BED"/>
    <w:rsid w:val="2CAE07B4"/>
    <w:rsid w:val="312D6C88"/>
    <w:rsid w:val="32E77D29"/>
    <w:rsid w:val="332F3237"/>
    <w:rsid w:val="35CD1A16"/>
    <w:rsid w:val="40AF442B"/>
    <w:rsid w:val="428D2213"/>
    <w:rsid w:val="46AC3C86"/>
    <w:rsid w:val="470628CB"/>
    <w:rsid w:val="4A167AA7"/>
    <w:rsid w:val="4B1E62C8"/>
    <w:rsid w:val="4CDE1B9A"/>
    <w:rsid w:val="4D7101A1"/>
    <w:rsid w:val="52E33AC0"/>
    <w:rsid w:val="54AB192D"/>
    <w:rsid w:val="56290384"/>
    <w:rsid w:val="57512D8A"/>
    <w:rsid w:val="58AF2C78"/>
    <w:rsid w:val="5AA27DBE"/>
    <w:rsid w:val="5B8C0816"/>
    <w:rsid w:val="5D975B23"/>
    <w:rsid w:val="5DC025C5"/>
    <w:rsid w:val="5F7D3B70"/>
    <w:rsid w:val="6A5D2E38"/>
    <w:rsid w:val="6BF76504"/>
    <w:rsid w:val="6E791C08"/>
    <w:rsid w:val="6EA048A4"/>
    <w:rsid w:val="6F4A8326"/>
    <w:rsid w:val="710870BC"/>
    <w:rsid w:val="732E3907"/>
    <w:rsid w:val="754B1003"/>
    <w:rsid w:val="7A876590"/>
    <w:rsid w:val="7BC45F98"/>
    <w:rsid w:val="7BE92C4E"/>
    <w:rsid w:val="7F77357C"/>
    <w:rsid w:val="7FAC0111"/>
    <w:rsid w:val="BA7B23C6"/>
    <w:rsid w:val="EEED2F1A"/>
    <w:rsid w:val="F5DA7042"/>
    <w:rsid w:val="FBF6DD4D"/>
    <w:rsid w:val="FCDF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outlineLvl w:val="2"/>
    </w:pPr>
    <w:rPr>
      <w:rFonts w:ascii="仿宋" w:hAnsi="仿宋" w:cs="宋体"/>
      <w:color w:val="FF0000"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qFormat/>
    <w:uiPriority w:val="0"/>
    <w:pPr>
      <w:shd w:val="clear" w:color="auto" w:fill="000080"/>
    </w:pPr>
  </w:style>
  <w:style w:type="paragraph" w:styleId="4">
    <w:name w:val="Date"/>
    <w:basedOn w:val="1"/>
    <w:next w:val="1"/>
    <w:qFormat/>
    <w:uiPriority w:val="0"/>
    <w:pPr>
      <w:ind w:left="100" w:leftChars="2500"/>
    </w:p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paragraph" w:styleId="6">
    <w:name w:val="footer"/>
    <w:basedOn w:val="1"/>
    <w:next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0"/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页脚 Char"/>
    <w:link w:val="6"/>
    <w:qFormat/>
    <w:uiPriority w:val="0"/>
    <w:rPr>
      <w:kern w:val="2"/>
      <w:sz w:val="18"/>
      <w:szCs w:val="18"/>
    </w:rPr>
  </w:style>
  <w:style w:type="character" w:customStyle="1" w:styleId="14">
    <w:name w:val="页眉 Char"/>
    <w:link w:val="7"/>
    <w:qFormat/>
    <w:uiPriority w:val="0"/>
    <w:rPr>
      <w:kern w:val="2"/>
      <w:sz w:val="18"/>
      <w:szCs w:val="18"/>
    </w:rPr>
  </w:style>
  <w:style w:type="paragraph" w:customStyle="1" w:styleId="15">
    <w:name w:val="Char"/>
    <w:basedOn w:val="1"/>
    <w:qFormat/>
    <w:uiPriority w:val="0"/>
  </w:style>
  <w:style w:type="paragraph" w:customStyle="1" w:styleId="16">
    <w:name w:val="默认段落字体 Para Char"/>
    <w:basedOn w:val="1"/>
    <w:qFormat/>
    <w:uiPriority w:val="0"/>
  </w:style>
  <w:style w:type="paragraph" w:customStyle="1" w:styleId="17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paragraph" w:customStyle="1" w:styleId="18">
    <w:name w:val="p15"/>
    <w:basedOn w:val="1"/>
    <w:qFormat/>
    <w:uiPriority w:val="0"/>
    <w:pPr>
      <w:widowControl/>
      <w:ind w:firstLine="420"/>
    </w:pPr>
    <w:rPr>
      <w:rFonts w:ascii="Calibri" w:hAnsi="Calibri" w:cs="宋体"/>
      <w:kern w:val="0"/>
      <w:szCs w:val="21"/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HYb2gj" w:hAnsi="Times New Roman" w:eastAsia="HYb2gj" w:cs="HYb2gj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486</Words>
  <Characters>501</Characters>
  <Lines>6</Lines>
  <Paragraphs>1</Paragraphs>
  <TotalTime>7</TotalTime>
  <ScaleCrop>false</ScaleCrop>
  <LinksUpToDate>false</LinksUpToDate>
  <CharactersWithSpaces>501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2025-05-19T17:43:00Z</dcterms:created>
  <dc:creator>微软中国</dc:creator>
  <cp:lastModifiedBy>admin</cp:lastModifiedBy>
  <cp:lastPrinted>2026-09-01T16:44:00Z</cp:lastPrinted>
  <dcterms:modified xsi:type="dcterms:W3CDTF">2026-09-01T10:31:55Z</dcterms:modified>
  <dc:title>阿水公司〔2007〕237号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eyJoZGlkIjoiZTA3MmJiZTZmMDYxOGRiZmJlN2YwZjhmYmRlNDZiMzgiLCJ1c2VySWQiOiI0MjExOTI0NjIifQ==</vt:lpwstr>
  </property>
  <property fmtid="{D5CDD505-2E9C-101B-9397-08002B2CF9AE}" pid="4" name="ICV">
    <vt:lpwstr>993A504991964C2882CFC6AE048071C9</vt:lpwstr>
  </property>
</Properties>
</file>