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2B22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乌恰县小尚亥草原景区观光车服务定价</w:t>
      </w:r>
    </w:p>
    <w:p w14:paraId="356CD54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成本测算报告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（初稿）</w:t>
      </w:r>
    </w:p>
    <w:p w14:paraId="48821EB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2FEDB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eastAsia="zh-CN"/>
        </w:rPr>
        <w:t>根据《中华人民共和国价格法》《政府制定价格成本监审办法》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（国家发改委第</w:t>
      </w:r>
      <w:r>
        <w:rPr>
          <w:rFonts w:hint="eastAsia" w:ascii="Times New Roman" w:hAnsi="Times New Roman" w:eastAsia="仿宋" w:cs="Times New Roman"/>
          <w:b w:val="0"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8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号令）《自治区景区门票定价成本监审暂行办法》（薪发改成本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  <w:t>〔201</w:t>
      </w:r>
      <w:r>
        <w:rPr>
          <w:rFonts w:hint="eastAsia" w:ascii="Times New Roman" w:hAnsi="Times New Roman" w:cs="仿宋_GB2312"/>
          <w:spacing w:val="-6"/>
          <w:kern w:val="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  <w:t>〕</w:t>
      </w:r>
      <w:r>
        <w:rPr>
          <w:rFonts w:hint="eastAsia" w:ascii="Times New Roman" w:hAnsi="Times New Roman" w:cs="仿宋_GB2312"/>
          <w:spacing w:val="-6"/>
          <w:kern w:val="0"/>
          <w:sz w:val="32"/>
          <w:szCs w:val="32"/>
          <w:lang w:val="en-US" w:eastAsia="zh-CN"/>
        </w:rPr>
        <w:t>36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号）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《新疆维吾尔自治区定价成本监审目录》（新发改规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  <w:t>〔2019〕5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号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eastAsia="zh-CN"/>
        </w:rPr>
        <w:t>《自治区旅游景区门票及相关服务价格管理办法》（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新发改规〔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〕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号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等有关规定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/>
        </w:rPr>
        <w:t>我委遵循公正、公开、科学、规范、效率的原则，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</w:rPr>
        <w:t>对小尚亥草原景区观光车服务成本情况进行了测算，具体情况如下：</w:t>
      </w:r>
    </w:p>
    <w:p w14:paraId="7823CE2F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eastAsia="黑体" w:cs="黑体"/>
        </w:rPr>
        <w:t>成本测算项目</w:t>
      </w:r>
    </w:p>
    <w:p w14:paraId="5AF2105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乌恰县小尚亥草原景区观光车服务定价成本测算项目。</w:t>
      </w:r>
    </w:p>
    <w:p w14:paraId="465D157B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b w:val="0"/>
        </w:rPr>
      </w:pPr>
      <w:r>
        <w:t>被测算单位基本情况</w:t>
      </w:r>
    </w:p>
    <w:p w14:paraId="4A4BEA84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</w:rPr>
      </w:pPr>
      <w:r>
        <w:rPr>
          <w:rFonts w:hint="eastAsia" w:ascii="方正楷体_GBK" w:hAnsi="方正楷体_GBK" w:eastAsia="方正楷体_GBK" w:cs="方正楷体_GBK"/>
          <w:b/>
          <w:bCs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bCs/>
        </w:rPr>
        <w:t>被测算单位基本情况</w:t>
      </w:r>
    </w:p>
    <w:p w14:paraId="4A3DB015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单位名称：新疆皓辰升创企业管理咨询有限公司，机构类型：企业，宗旨和业务范围：贯彻执行旅游行业相关法律法规，负责景区观光车运载服务运营管理，保障观光车线路及配套设施安全有序运行，为游客提供便捷、安全的景区内交通服务，同时承担观光车设施维护、人员调配等相关工作。</w:t>
      </w:r>
    </w:p>
    <w:p w14:paraId="7BD32B5C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lang w:eastAsia="zh-CN"/>
        </w:rPr>
        <w:t>二）</w:t>
      </w:r>
      <w:r>
        <w:rPr>
          <w:rFonts w:hint="eastAsia" w:ascii="方正楷体_GBK" w:hAnsi="方正楷体_GBK" w:eastAsia="方正楷体_GBK" w:cs="方正楷体_GBK"/>
          <w:b/>
          <w:bCs/>
        </w:rPr>
        <w:t>观光车服务项目基本情况</w:t>
      </w:r>
    </w:p>
    <w:p w14:paraId="1FAB756C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小尚亥草原景区观光车项目：项目功能为景区内游客运载服务，设计年载客量</w:t>
      </w:r>
      <w:r>
        <w:rPr>
          <w:b w:val="0"/>
          <w:bCs/>
        </w:rPr>
        <w:t>8.334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万人次（按日均</w:t>
      </w:r>
      <w:r>
        <w:rPr>
          <w:rFonts w:hint="eastAsia"/>
          <w:b w:val="0"/>
          <w:bCs/>
          <w:lang w:val="en-US" w:eastAsia="zh-CN"/>
        </w:rPr>
        <w:t>416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人次、年运营</w:t>
      </w:r>
      <w:r>
        <w:rPr>
          <w:rFonts w:hint="eastAsia"/>
          <w:b w:val="0"/>
          <w:bCs/>
          <w:lang w:val="en-US" w:eastAsia="zh-CN"/>
        </w:rPr>
        <w:t>200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天测算），建设内容包括：观光车线路</w:t>
      </w:r>
      <w:r>
        <w:rPr>
          <w:rFonts w:hint="eastAsia"/>
          <w:b w:val="0"/>
          <w:bCs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条（总长度</w:t>
      </w:r>
      <w:r>
        <w:rPr>
          <w:rFonts w:hint="eastAsia"/>
          <w:b w:val="0"/>
          <w:bCs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公里），配备</w:t>
      </w:r>
      <w:r>
        <w:rPr>
          <w:rFonts w:hint="eastAsia"/>
          <w:b w:val="0"/>
          <w:bCs/>
          <w:lang w:val="en-US" w:eastAsia="zh-CN"/>
        </w:rPr>
        <w:t>23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座充电桩、电动观光车</w:t>
      </w:r>
      <w:r>
        <w:rPr>
          <w:rFonts w:hint="eastAsia"/>
          <w:b w:val="0"/>
          <w:bCs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辆（驾驶员</w:t>
      </w:r>
      <w:r>
        <w:rPr>
          <w:rFonts w:hint="eastAsia" w:ascii="Times New Roman" w:hAnsi="Times New Roman"/>
          <w:b w:val="0"/>
          <w:bCs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人）；线路道路维修设施、调度通讯系统及监控设施；驾驶员休息室、车辆维修保养场地等附属设施，同时完成观光车配套票务系统及服务站点建设。</w:t>
      </w:r>
    </w:p>
    <w:p w14:paraId="536C6B1D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b w:val="0"/>
        </w:rPr>
      </w:pPr>
      <w:r>
        <w:t>成本测算的主要依据</w:t>
      </w:r>
    </w:p>
    <w:p w14:paraId="066615F0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《中华人民共和国价格法》；</w:t>
      </w:r>
    </w:p>
    <w:p w14:paraId="3D05F85C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《政府制定价格行为规则》（国家发展改革委第</w:t>
      </w:r>
      <w:r>
        <w:rPr>
          <w:rFonts w:hint="eastAsia"/>
          <w:b w:val="0"/>
          <w:bCs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号令）；</w:t>
      </w:r>
    </w:p>
    <w:p w14:paraId="107E2F52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《政府制定价格成本监审办法》（国家发展改革委第</w:t>
      </w:r>
      <w:r>
        <w:rPr>
          <w:rFonts w:hint="eastAsia"/>
          <w:b w:val="0"/>
          <w:bCs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号令）；</w:t>
      </w:r>
    </w:p>
    <w:p w14:paraId="4EF2DF80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《新疆维吾尔自治区定价成本监审目录》（新发改规〔</w:t>
      </w:r>
      <w:r>
        <w:rPr>
          <w:rFonts w:hint="eastAsia"/>
          <w:b w:val="0"/>
          <w:bCs/>
          <w:lang w:val="en-US" w:eastAsia="zh-CN"/>
        </w:rPr>
        <w:t>2019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〕</w:t>
      </w:r>
      <w:r>
        <w:rPr>
          <w:rFonts w:hint="eastAsia"/>
          <w:b w:val="0"/>
          <w:bCs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号）；</w:t>
      </w:r>
    </w:p>
    <w:p w14:paraId="41C0DFAA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《新疆维吾尔自治区定价目录》（新政发〔</w:t>
      </w:r>
      <w:r>
        <w:rPr>
          <w:rFonts w:hint="eastAsia"/>
          <w:b w:val="0"/>
          <w:bCs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〕</w:t>
      </w:r>
      <w:r>
        <w:rPr>
          <w:rFonts w:hint="eastAsia"/>
          <w:b w:val="0"/>
          <w:bCs/>
          <w:lang w:val="en-US" w:eastAsia="zh-CN"/>
        </w:rPr>
        <w:t>34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号）；</w:t>
      </w:r>
    </w:p>
    <w:p w14:paraId="33C6059A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自治区发展改革委关于印发《自治区旅游景区门票及相关服务价格管理办法》的通知（新发改规〔</w:t>
      </w:r>
      <w:r>
        <w:rPr>
          <w:rFonts w:hint="eastAsia"/>
          <w:b w:val="0"/>
          <w:bCs/>
          <w:lang w:val="en-US" w:eastAsia="zh-CN"/>
        </w:rPr>
        <w:t>2021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〕</w:t>
      </w:r>
      <w:r>
        <w:rPr>
          <w:rFonts w:hint="eastAsia"/>
          <w:b w:val="0"/>
          <w:bCs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号）；</w:t>
      </w:r>
    </w:p>
    <w:p w14:paraId="525E49F7">
      <w:pPr>
        <w:pStyle w:val="11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pacing w:val="-6"/>
          <w:kern w:val="0"/>
          <w:sz w:val="32"/>
          <w:szCs w:val="32"/>
          <w:lang w:val="en-US" w:eastAsia="zh-CN" w:bidi="ar-SA"/>
        </w:rPr>
        <w:t>与成本测算有关的其他资料。</w:t>
      </w:r>
    </w:p>
    <w:p w14:paraId="07CA5DD7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成本测算情况</w:t>
      </w:r>
      <w:bookmarkStart w:id="0" w:name="_GoBack"/>
      <w:bookmarkEnd w:id="0"/>
    </w:p>
    <w:p w14:paraId="7A2769C5">
      <w:pPr>
        <w:pStyle w:val="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pacing w:val="-6"/>
          <w:sz w:val="32"/>
          <w:szCs w:val="32"/>
          <w:lang w:eastAsia="zh-CN"/>
        </w:rPr>
        <w:t>运营</w:t>
      </w:r>
      <w:r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</w:rPr>
        <w:t>成本及期间费用</w:t>
      </w:r>
    </w:p>
    <w:p w14:paraId="442FC346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经测算，核定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运营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成本及期间费用明细如下：</w:t>
      </w:r>
    </w:p>
    <w:p w14:paraId="7FC76C2E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职工薪酬：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核定职工薪酬619612元</w:t>
      </w:r>
      <w:r>
        <w:rPr>
          <w:rFonts w:hint="eastAsia" w:eastAsia="方正仿宋_GBK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按7名核定人员测算，其中基本工资420000元；福利费31500元（按职工工资7.5％计提）；社会保险费156912元，按照自治区相关缴费标准核定（其中养老保险100716元、医疗保险50316元、失业保险4200元、工伤保险1680元）；职工教育经费11200元，为4名从业人员N2及A证培训必要支出。</w:t>
      </w:r>
    </w:p>
    <w:p w14:paraId="0B36D968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固定资产折旧：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核定固定资产折旧65000元</w:t>
      </w:r>
      <w:r>
        <w:rPr>
          <w:rFonts w:hint="eastAsia" w:eastAsia="方正仿宋_GBK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依据《政府制定价格成本监审办法》，项目固定资产原值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132.68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万元，按照观光车及配套设施分类折旧年限（车辆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年），采用年限平均法核定年折旧费65000元。</w:t>
      </w:r>
    </w:p>
    <w:p w14:paraId="6FEB31F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修理费：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核定修理费328641元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，其中</w:t>
      </w:r>
      <w:r>
        <w:rPr>
          <w:rFonts w:hint="default" w:ascii="Times New Roman" w:hAnsi="Times New Roman" w:eastAsia="方正仿宋_GBK" w:cs="Times New Roman"/>
          <w:spacing w:val="-6"/>
          <w:kern w:val="0"/>
          <w:sz w:val="32"/>
          <w:szCs w:val="32"/>
          <w:lang/>
        </w:rPr>
        <w:t>修路机械及人工费用206800元、材料费用86759元、油费35082元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32"/>
          <w:lang w:eastAsia="zh-CN"/>
        </w:rPr>
        <w:t>。</w:t>
      </w:r>
    </w:p>
    <w:p w14:paraId="17BA34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成本核减项：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</w:rPr>
        <w:t>一次性道路大修支出206800元，占道路配套资产原值比例超过20%，属于固定资产改良支出，按规定应资本化分期折旧，不得一次性全额计入当年运营维修成本。将道路大修改良类支出146000元调出当年成本，转入固定资产逐年摊销；保留车辆日常小修、耗材、运维燃油等常态化维修支出182641元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。</w:t>
      </w:r>
    </w:p>
    <w:p w14:paraId="5EDC9CE7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4.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直接材料费：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核定直接材料费30000元</w:t>
      </w:r>
      <w:r>
        <w:rPr>
          <w:rFonts w:hint="eastAsia" w:eastAsia="方正仿宋_GBK" w:cs="Times New Roman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其中水电费30000元（电费20000元、水费10000元），为观光车运营及配套服务必要消耗。</w:t>
      </w:r>
    </w:p>
    <w:p w14:paraId="049CA083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5.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其他直接支出：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核定其他直接支出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172525元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，其中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交通费48000元（观光车运费）、保险费50000元（观光车及配套设施保险）、吊车租赁费3200元、门票印制费71325元（观光车配套票务支出）。</w:t>
      </w:r>
    </w:p>
    <w:p w14:paraId="658382F0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成本核减项：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</w:rPr>
        <w:t>核减吊车租赁费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3200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</w:rPr>
        <w:t>元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</w:rPr>
        <w:t>吊车属于偶发工程施工租赁，非游客常态化运载配套必要支出，不属于持续运营直接成本，按政策予以全额核减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lang w:eastAsia="zh-CN"/>
        </w:rPr>
        <w:t>。保留其他费用，合计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169325元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val="en-US" w:eastAsia="zh-CN"/>
        </w:rPr>
        <w:t>。</w:t>
      </w:r>
    </w:p>
    <w:p w14:paraId="1D97CEC1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6.</w:t>
      </w:r>
      <w:r>
        <w:rPr>
          <w:rFonts w:hint="default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管理费用：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核定管理费用106400元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，其中办公费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20000元、差旅费21863元、业务招待费64537元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。</w:t>
      </w:r>
    </w:p>
    <w:p w14:paraId="0734BCFD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成本核减项：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业务招待费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上限为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主营业务收入的5‰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，企业业务招待费需按实际发生额60%核定计入定价成本，原申报64537元，仅允许60%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即38722.2元，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核减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超额25814.8元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val="en-US" w:eastAsia="zh-CN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highlight w:val="none"/>
          <w:lang w:eastAsia="zh-CN"/>
        </w:rPr>
        <w:t>保留其他费用，合计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val="en-US" w:eastAsia="zh-CN"/>
        </w:rPr>
        <w:t>80585.2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元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lang w:val="en-US" w:eastAsia="zh-CN"/>
        </w:rPr>
        <w:t>。</w:t>
      </w:r>
    </w:p>
    <w:p w14:paraId="7F4BF60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7.</w:t>
      </w:r>
      <w:r>
        <w:rPr>
          <w:rFonts w:hint="default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"/>
        </w:rPr>
        <w:t>销售费用：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核定销售费用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28675元（广告宣传费）。</w:t>
      </w:r>
    </w:p>
    <w:p w14:paraId="628DE20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"/>
        </w:rPr>
        <w:t>成本核减项：</w:t>
      </w:r>
      <w:r>
        <w:rPr>
          <w:rFonts w:hint="default" w:ascii="Times New Roman" w:hAnsi="Times New Roman" w:eastAsia="方正仿宋_GBK" w:cs="Times New Roman"/>
          <w:color w:val="auto"/>
          <w:spacing w:val="-6"/>
          <w:kern w:val="0"/>
          <w:sz w:val="32"/>
          <w:szCs w:val="32"/>
          <w:highlight w:val="none"/>
        </w:rPr>
        <w:t>政策规定景区宣传仅保留安全运营、线路导览刚需宣传，大规模市场推广广告属于市场化营销支出，不得全额转嫁给游客承担，核减非必要推广广告费15000元。</w:t>
      </w:r>
    </w:p>
    <w:p w14:paraId="36F1395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8.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"/>
        </w:rPr>
        <w:t>其他必要支出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6"/>
          <w:kern w:val="0"/>
          <w:sz w:val="32"/>
          <w:szCs w:val="32"/>
          <w:lang/>
        </w:rPr>
        <w:t>核定景区规划费100000元（观光车线路及配套设施规划支出）</w:t>
      </w:r>
      <w:r>
        <w:rPr>
          <w:rFonts w:hint="eastAsia" w:ascii="Times New Roman" w:hAnsi="Times New Roman" w:eastAsia="方正仿宋_GBK" w:cs="Times New Roman"/>
          <w:color w:val="auto"/>
          <w:spacing w:val="-6"/>
          <w:kern w:val="0"/>
          <w:sz w:val="32"/>
          <w:szCs w:val="32"/>
          <w:lang w:eastAsia="zh-CN"/>
        </w:rPr>
        <w:t>。</w:t>
      </w:r>
    </w:p>
    <w:p w14:paraId="202A33B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"/>
        </w:rPr>
        <w:t>成本核减项：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</w:rPr>
        <w:t>景区规划费为新建项目一次性前期无形资产投入，需按20年分期摊销，不得在运营首年全额计入年度定价成本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eastAsia="zh-CN"/>
        </w:rPr>
        <w:t>，核减</w:t>
      </w:r>
      <w:r>
        <w:rPr>
          <w:rFonts w:hint="default" w:ascii="Times New Roman" w:hAnsi="Times New Roman" w:eastAsia="方正仿宋_GBK" w:cs="Times New Roman"/>
          <w:color w:val="auto"/>
          <w:spacing w:val="-6"/>
          <w:kern w:val="0"/>
          <w:sz w:val="32"/>
          <w:szCs w:val="32"/>
        </w:rPr>
        <w:t>景区规划费100000元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eastAsia="zh-CN"/>
        </w:rPr>
        <w:t>。</w:t>
      </w:r>
    </w:p>
    <w:p w14:paraId="3A98AE9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运营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成本及期间费用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=</w:t>
      </w:r>
      <w:r>
        <w:rPr>
          <w:rFonts w:hint="default" w:ascii="Times New Roman" w:hAnsi="Times New Roman" w:eastAsia="方正仿宋_GBK" w:cs="Times New Roman"/>
          <w:b/>
          <w:bCs/>
          <w:spacing w:val="-6"/>
          <w:sz w:val="32"/>
          <w:szCs w:val="32"/>
        </w:rPr>
        <w:t>职工薪酬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Times New Roman" w:hAnsi="Times New Roman" w:eastAsia="方正仿宋_GBK" w:cs="Times New Roman"/>
          <w:b/>
          <w:bCs/>
          <w:spacing w:val="-6"/>
          <w:sz w:val="32"/>
          <w:szCs w:val="32"/>
        </w:rPr>
        <w:t>固定资产折旧修理费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Times New Roman" w:hAnsi="Times New Roman" w:eastAsia="方正仿宋_GBK" w:cs="Times New Roman"/>
          <w:b/>
          <w:bCs/>
          <w:spacing w:val="-6"/>
          <w:kern w:val="2"/>
          <w:sz w:val="32"/>
          <w:szCs w:val="32"/>
          <w:lang w:val="en-US" w:eastAsia="zh-CN" w:bidi="ar-SA"/>
        </w:rPr>
        <w:t>直接材料费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Times New Roman" w:hAnsi="Times New Roman" w:eastAsia="方正仿宋_GBK" w:cs="Times New Roman"/>
          <w:b/>
          <w:bCs/>
          <w:spacing w:val="-6"/>
          <w:kern w:val="2"/>
          <w:sz w:val="32"/>
          <w:szCs w:val="32"/>
          <w:lang w:val="en-US" w:eastAsia="zh-CN" w:bidi="ar-SA"/>
        </w:rPr>
        <w:t>其他直接支出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Times New Roman" w:hAnsi="Times New Roman" w:eastAsia="方正仿宋_GBK" w:cs="Times New Roman"/>
          <w:b/>
          <w:bCs/>
          <w:spacing w:val="-6"/>
          <w:kern w:val="2"/>
          <w:sz w:val="32"/>
          <w:szCs w:val="32"/>
          <w:lang w:val="en-US" w:eastAsia="zh-CN" w:bidi="ar-SA"/>
        </w:rPr>
        <w:t>管理费用销售费用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+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其他必要支出</w:t>
      </w:r>
    </w:p>
    <w:p w14:paraId="3AC64D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=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619612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65000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182641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30000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169325+80585.2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13675+0</w:t>
      </w:r>
    </w:p>
    <w:p w14:paraId="71ED0F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16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=1160838.2元</w:t>
      </w:r>
    </w:p>
    <w:p w14:paraId="793BD2AD">
      <w:pPr>
        <w:pStyle w:val="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pacing w:val="-6"/>
          <w:sz w:val="32"/>
          <w:szCs w:val="32"/>
        </w:rPr>
        <w:t>载客量</w:t>
      </w:r>
    </w:p>
    <w:p w14:paraId="61487D52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景区处于初期运营及区域旅游市场培育阶段，202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－202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年度实际</w:t>
      </w:r>
      <w:r>
        <w:rPr>
          <w:rFonts w:hint="eastAsia" w:eastAsia="方正仿宋_GBK" w:cs="Times New Roman"/>
          <w:spacing w:val="-6"/>
          <w:sz w:val="32"/>
          <w:szCs w:val="32"/>
          <w:lang w:eastAsia="zh-CN"/>
        </w:rPr>
        <w:t>接待人数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分别为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0000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人次、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10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0000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人次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（全年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365天运营统计数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，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景区观光车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设计年载客量8.334万人次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按日均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416</w:t>
      </w:r>
      <w:r>
        <w:rPr>
          <w:rFonts w:hint="eastAsia" w:ascii="方正仿宋_GBK" w:hAnsi="方正仿宋_GBK" w:eastAsia="方正仿宋_GBK" w:cs="方正仿宋_GBK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人次、年运营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200</w:t>
      </w:r>
      <w:r>
        <w:rPr>
          <w:rFonts w:hint="eastAsia" w:ascii="方正仿宋_GBK" w:hAnsi="方正仿宋_GBK" w:eastAsia="方正仿宋_GBK" w:cs="方正仿宋_GBK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天测算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）。</w:t>
      </w:r>
    </w:p>
    <w:p w14:paraId="70F6C164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周边旅游配套（交通路网、住宿接待、宣传推广）尚未成熟，短期客流难以达到设计载客量60％（8334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人次×60％＝50004人次）的政策底线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。</w:t>
      </w:r>
    </w:p>
    <w:p w14:paraId="7305C943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50000人次的核定标准已能完全覆盖职工薪酬、修理费、固定资产折旧等核心基础运营维护成本，符合监审办法“保障项目基本运行需求”的核心原则，且与设计载客量60％标准（50004人次）接近，未偏离合理区间。</w:t>
      </w:r>
    </w:p>
    <w:p w14:paraId="3350E618">
      <w:pPr>
        <w:pStyle w:val="11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pacing w:val="-6"/>
          <w:sz w:val="32"/>
          <w:szCs w:val="32"/>
          <w:lang w:eastAsia="zh-CN"/>
        </w:rPr>
        <w:t>综上所述，载客量为</w:t>
      </w:r>
      <w:r>
        <w:rPr>
          <w:rFonts w:hint="eastAsia" w:eastAsia="方正仿宋_GBK" w:cs="Times New Roman"/>
          <w:spacing w:val="-6"/>
          <w:sz w:val="32"/>
          <w:szCs w:val="32"/>
          <w:lang w:val="en-US" w:eastAsia="zh-CN"/>
        </w:rPr>
        <w:t>50000人。</w:t>
      </w:r>
    </w:p>
    <w:p w14:paraId="59218B43">
      <w:pPr>
        <w:pStyle w:val="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default" w:ascii="方正楷体_GBK" w:hAnsi="方正楷体_GBK" w:eastAsia="方正楷体_GBK" w:cs="方正楷体_GBK"/>
          <w:b/>
          <w:bCs/>
          <w:spacing w:val="-6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pacing w:val="-6"/>
          <w:sz w:val="32"/>
          <w:szCs w:val="32"/>
        </w:rPr>
        <w:t>准许收益</w:t>
      </w:r>
    </w:p>
    <w:p w14:paraId="6739C58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本次定价为成本补偿型定价，结合景区初期运营、市场培育阶段特征，暂不计提准许收益，故核定准许收益为0元。</w:t>
      </w:r>
    </w:p>
    <w:p w14:paraId="03BF64C9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成本测算结论</w:t>
      </w:r>
    </w:p>
    <w:p w14:paraId="7B33CC3D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经测算，小尚亥草原景区观光车服务定价总成本为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1160838.2元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；核定的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载客量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为50000人次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eastAsia="zh-CN"/>
        </w:rPr>
        <w:t>。</w:t>
      </w:r>
    </w:p>
    <w:p w14:paraId="48236D07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-6"/>
          <w:sz w:val="32"/>
          <w:szCs w:val="32"/>
          <w:highlight w:val="none"/>
        </w:rPr>
        <w:t>单位服务完全成本＝定价总成本÷核定标准游客人数</w:t>
      </w:r>
    </w:p>
    <w:p w14:paraId="6F3E3FC7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＝</w:t>
      </w:r>
      <w:r>
        <w:rPr>
          <w:rFonts w:hint="eastAsia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1160838.2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÷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50000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＝</w:t>
      </w:r>
      <w:r>
        <w:rPr>
          <w:rFonts w:hint="eastAsia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23.21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</w:rPr>
        <w:t>元／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人次；</w:t>
      </w:r>
    </w:p>
    <w:p w14:paraId="09ABD8C7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其他需要说明的问题</w:t>
      </w:r>
    </w:p>
    <w:p w14:paraId="56E187AD">
      <w:pPr>
        <w:pStyle w:val="11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本报告是根据被测算单位所提供的成本资料作出的，其真实性、合法性由该测算单位负责。</w:t>
      </w:r>
    </w:p>
    <w:p w14:paraId="29F34EC5">
      <w:pPr>
        <w:pStyle w:val="11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参加本次测算工作人员与被测算单位无任何利害关系。</w:t>
      </w:r>
    </w:p>
    <w:p w14:paraId="4D4D51F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本报告仅为政府定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指导定价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调价决策服务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现形成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乌恰县小尚亥草原景区观光车服务定价成本测算报告</w:t>
      </w:r>
      <w:r>
        <w:rPr>
          <w:rFonts w:hint="eastAsia" w:eastAsia="方正仿宋_GBK" w:cs="Times New Roman"/>
          <w:spacing w:val="-6"/>
          <w:sz w:val="32"/>
          <w:szCs w:val="32"/>
          <w:lang w:val="en-US" w:eastAsia="zh-CN"/>
        </w:rPr>
        <w:t>（初稿）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，下一步将严格按照法定程序推进相关工作。</w:t>
      </w:r>
    </w:p>
    <w:p w14:paraId="6897888D">
      <w:pPr>
        <w:pStyle w:val="11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4" w:right="1531" w:bottom="1984" w:left="1531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隶书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魏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610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A92D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A92D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8988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BD01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BD01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A6FA2"/>
    <w:multiLevelType w:val="singleLevel"/>
    <w:tmpl w:val="98EA6FA2"/>
    <w:lvl w:ilvl="0" w:tentative="0">
      <w:start w:val="1"/>
      <w:numFmt w:val="taiwa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1">
    <w:nsid w:val="F929CA46"/>
    <w:multiLevelType w:val="singleLevel"/>
    <w:tmpl w:val="F929CA46"/>
    <w:lvl w:ilvl="0" w:tentative="0">
      <w:start w:val="1"/>
      <w:numFmt w:val="taiwa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2">
    <w:nsid w:val="FC40BCE3"/>
    <w:multiLevelType w:val="singleLevel"/>
    <w:tmpl w:val="FC40BCE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D85E7F6"/>
    <w:multiLevelType w:val="singleLevel"/>
    <w:tmpl w:val="5D85E7F6"/>
    <w:lvl w:ilvl="0" w:tentative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A4F9A"/>
    <w:rsid w:val="01C1789B"/>
    <w:rsid w:val="06186CA1"/>
    <w:rsid w:val="06393A45"/>
    <w:rsid w:val="07067916"/>
    <w:rsid w:val="08AF0131"/>
    <w:rsid w:val="0AEB5F77"/>
    <w:rsid w:val="0B0A4F9A"/>
    <w:rsid w:val="0C495F02"/>
    <w:rsid w:val="145D4406"/>
    <w:rsid w:val="18440EDB"/>
    <w:rsid w:val="1AE4694A"/>
    <w:rsid w:val="1C3D5C7E"/>
    <w:rsid w:val="20977780"/>
    <w:rsid w:val="240B02E1"/>
    <w:rsid w:val="261F49AD"/>
    <w:rsid w:val="29906483"/>
    <w:rsid w:val="29C20A80"/>
    <w:rsid w:val="2A395658"/>
    <w:rsid w:val="2A847B4D"/>
    <w:rsid w:val="32272EF3"/>
    <w:rsid w:val="36C32AC8"/>
    <w:rsid w:val="442A5D90"/>
    <w:rsid w:val="44F175EB"/>
    <w:rsid w:val="4CD80E23"/>
    <w:rsid w:val="4DC33854"/>
    <w:rsid w:val="4EF03B55"/>
    <w:rsid w:val="4F14474A"/>
    <w:rsid w:val="50152B62"/>
    <w:rsid w:val="54C93027"/>
    <w:rsid w:val="5AA85381"/>
    <w:rsid w:val="5D736BF3"/>
    <w:rsid w:val="5F0A5609"/>
    <w:rsid w:val="5FB26231"/>
    <w:rsid w:val="6223793A"/>
    <w:rsid w:val="670A6088"/>
    <w:rsid w:val="67F6688E"/>
    <w:rsid w:val="74364139"/>
    <w:rsid w:val="7B0C73F1"/>
    <w:rsid w:val="7F0E6500"/>
    <w:rsid w:val="7F567F7A"/>
    <w:rsid w:val="7FDC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4891</Words>
  <Characters>5271</Characters>
  <Lines>0</Lines>
  <Paragraphs>0</Paragraphs>
  <TotalTime>10</TotalTime>
  <ScaleCrop>false</ScaleCrop>
  <LinksUpToDate>false</LinksUpToDate>
  <CharactersWithSpaces>5271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2025-12-29T05:55:00Z</dcterms:created>
  <dc:creator>韩文俊</dc:creator>
  <cp:lastModifiedBy>Administrator</cp:lastModifiedBy>
  <cp:lastPrinted>2026-01-21T04:46:00Z</cp:lastPrinted>
  <dcterms:modified xsi:type="dcterms:W3CDTF">2026-07-20T05:18:07Z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5552B9A5AC5F4A7795A288EEF5034483_13</vt:lpwstr>
  </property>
  <property fmtid="{D5CDD505-2E9C-101B-9397-08002B2CF9AE}" pid="4" name="KSOTemplateDocerSaveRecord">
    <vt:lpwstr>eyJoZGlkIjoiZWI3YzM3MmJhMjRiM2MzZTk0N2NlYWZiNzQwZjVmMjEiLCJ1c2VySWQiOiI0NTYxNTU3MTUifQ==</vt:lpwstr>
  </property>
</Properties>
</file>