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60" w:lineRule="exact"/>
        <w:ind w:right="3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lang w:eastAsia="zh-CN"/>
        </w:rPr>
        <w:t>乌恰县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人民政府关于明确国有农用地统一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60" w:lineRule="exact"/>
        <w:ind w:right="36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包管理主体的公告</w:t>
      </w:r>
      <w:bookmarkEnd w:id="0"/>
    </w:p>
    <w:p>
      <w:pPr>
        <w:pStyle w:val="2"/>
        <w:spacing w:line="324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firstLine="67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为深入贯彻落实《新疆维吾尔自治区人民政府办公厅关于加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强和规范国有农用地管理的指导意见》(新政办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发〔2025〕44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号)、自治区自然资源厅、水利厅、农业农村厅、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林业和草原局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《关于印发&lt;自治区深入推进国有农用地管理突出问题专项整治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工作方案&gt;的通知》(新自然资发〔2026〕21号)的要求，进一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步规范国有农用地发包及经营管理，明确权责关系，维护国家所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有者权益，结合我县工作实际，经县人民政府研究同意，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现就本县国有农用地发包管理主体有关事项公告如下：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4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6" w:line="560" w:lineRule="exact"/>
        <w:ind w:right="138" w:firstLine="67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按照“统一管理、权责清晰、规范高效”的原则，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乌恰县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行政区域内的国有农用地(包括国有耕地、园地、林地、草地，已依法确定给村集体使用和农垦用地的国有农用地除外)发包活动，必须由依法确定的统一发包主体组织实施。未经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乌恰县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民政府授权，任何单位和个人不得擅自发包国有农用地。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" w:line="560" w:lineRule="exact"/>
        <w:ind w:firstLine="664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二、国有农用地发包主体的明确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560" w:lineRule="exact"/>
        <w:ind w:right="18" w:firstLine="67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乌恰县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自然资源局、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乌恰县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林业和草原中心为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乌恰县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国有农用地(包括国有耕地、园地、林地、草地，已依法确定给村集体使用和农垦用地的国有农用地除外)的统一发包主体，依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法履行国有农用地发包、合同监督管理、承包费催缴等职责。结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合实际，依法委托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乌恰县产投公司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，签订委托管理协议或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合同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协助开展相关工作。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left="424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  <w:t>三、发包主体的主要职责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3" w:line="560" w:lineRule="exact"/>
        <w:ind w:right="96" w:firstLine="4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(一)组织发包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按照公开、公平、公正的原则，将国有农用地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纳入农村产权交易中心统一交易，组织公开发包工作。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560" w:lineRule="exact"/>
        <w:ind w:right="95" w:firstLine="4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(二)签订合同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使用自治区统一制定的示范文本与承包方签订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承包合同，明确双方权利义务。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5" w:line="560" w:lineRule="exact"/>
        <w:ind w:right="98" w:firstLine="4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(三)监督管理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对承包方依法使用土地、履行合同约定情况进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行监督检查，防止擅自改变土地用途、非法转包等行为。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8" w:line="560" w:lineRule="exact"/>
        <w:ind w:right="97" w:firstLine="4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(四)费用收缴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按照合同约定及时足额收缴承包费，确保按规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定缴入国库。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560" w:lineRule="exact"/>
        <w:ind w:right="88" w:firstLine="42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(五)档案管理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建立健全国有农用地“一地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一档”,对发包资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料、合同文本、缴费票据等规范归档。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line="560" w:lineRule="exact"/>
        <w:ind w:right="100" w:firstLine="424"/>
        <w:textAlignment w:val="auto"/>
        <w:rPr>
          <w:rFonts w:hint="eastAsia" w:ascii="仿宋_GB2312" w:hAnsi="仿宋_GB2312" w:eastAsia="仿宋_GB2312" w:cs="仿宋_GB2312"/>
          <w:spacing w:val="1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(六)纠纷调处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配合相关部门做好土地承包纠纷的调解处理工作。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2" w:line="560" w:lineRule="exact"/>
        <w:ind w:left="424"/>
        <w:textAlignment w:val="auto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spacing w:val="-7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76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7" w:line="560" w:lineRule="exact"/>
        <w:ind w:right="122" w:firstLine="420"/>
        <w:jc w:val="both"/>
        <w:textAlignment w:val="auto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本公告发布前，已由其他主体签订的合法有效合同，在合同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期内继续有效；合同到期后，须按本公告确定的发包主体重新签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订合同。任何单位和个人发现违规发包国有农用地的，可向县自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然资源局或纪检监察机关举报。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本公告自发布之日起施行。</w:t>
      </w:r>
    </w:p>
    <w:p>
      <w:pPr>
        <w:ind w:firstLine="684" w:firstLineChars="200"/>
        <w:rPr>
          <w:rFonts w:ascii="仿宋" w:hAnsi="仿宋" w:eastAsia="仿宋" w:cs="仿宋"/>
          <w:spacing w:val="1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特此公告。</w:t>
      </w:r>
    </w:p>
    <w:p>
      <w:pPr>
        <w:ind w:firstLine="644" w:firstLineChars="200"/>
        <w:rPr>
          <w:rFonts w:ascii="仿宋" w:hAnsi="仿宋" w:eastAsia="仿宋" w:cs="仿宋"/>
          <w:spacing w:val="11"/>
          <w:sz w:val="30"/>
          <w:szCs w:val="30"/>
        </w:rPr>
      </w:pPr>
    </w:p>
    <w:p>
      <w:pPr>
        <w:ind w:firstLine="644" w:firstLineChars="200"/>
        <w:rPr>
          <w:rFonts w:ascii="仿宋" w:hAnsi="仿宋" w:eastAsia="仿宋" w:cs="仿宋"/>
          <w:spacing w:val="11"/>
          <w:sz w:val="30"/>
          <w:szCs w:val="30"/>
        </w:rPr>
      </w:pPr>
    </w:p>
    <w:p>
      <w:pPr>
        <w:ind w:firstLine="4446" w:firstLineChars="1300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乌恰县人民政府</w:t>
      </w:r>
    </w:p>
    <w:p>
      <w:pPr>
        <w:ind w:firstLine="4446" w:firstLineChars="1300"/>
      </w:pPr>
      <w:r>
        <w:rPr>
          <w:rFonts w:hint="default" w:ascii="Times New Roman" w:hAnsi="Times New Roman" w:eastAsia="仿宋" w:cs="Times New Roman"/>
          <w:spacing w:val="11"/>
          <w:sz w:val="32"/>
          <w:szCs w:val="32"/>
          <w:lang w:val="en-US" w:eastAsia="zh-CN"/>
        </w:rPr>
        <w:t>2026年5月6日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2026-05-12T09:15:22Z</dcterms:created>
  <dc:creator>Administrator</dc:creator>
  <cp:lastModifiedBy>Administrator</cp:lastModifiedBy>
  <dcterms:modified xsi:type="dcterms:W3CDTF">2026-05-12T09:15:45Z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