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outlineLvl w:val="9"/>
        <w:rPr>
          <w:rFonts w:hint="eastAsia" w:ascii="宋体" w:hAnsi="宋体" w:eastAsia="宋体" w:cs="宋体"/>
          <w:b/>
          <w:bCs/>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442" w:firstLineChars="100"/>
        <w:jc w:val="center"/>
        <w:textAlignment w:val="auto"/>
        <w:outlineLvl w:val="9"/>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2022年乌恰县一般公共预算“三公经费”</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442" w:firstLineChars="100"/>
        <w:jc w:val="center"/>
        <w:textAlignment w:val="auto"/>
        <w:outlineLvl w:val="9"/>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支出情况说明</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left"/>
        <w:textAlignment w:val="auto"/>
        <w:outlineLvl w:val="9"/>
        <w:rPr>
          <w:rFonts w:hint="eastAsia" w:ascii="宋体" w:hAnsi="宋体" w:eastAsia="宋体" w:cs="宋体"/>
          <w:b/>
          <w:bCs/>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r>
        <w:rPr>
          <w:rFonts w:hint="eastAsia"/>
          <w:sz w:val="32"/>
          <w:szCs w:val="40"/>
          <w:lang w:val="en-US" w:eastAsia="zh-CN"/>
        </w:rPr>
        <w:t>一、2021年乌恰县“三公经费”预算严格按照中央、自治区、自治州、县委关于改进工作作风、密切联系群众，厉行节约、反对浪费的一系列规定。严格控制公务接待费、公务用车运行维护费等“三公经费”，做到只减不增。</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r>
        <w:rPr>
          <w:rFonts w:hint="eastAsia"/>
          <w:sz w:val="32"/>
          <w:szCs w:val="40"/>
          <w:lang w:val="en-US" w:eastAsia="zh-CN"/>
        </w:rPr>
        <w:t>二、2022年乌恰县“三公经费”预算计划安排720万元。其中：公务接待费预计安排 220万元，公务用车及运行维护费预计安排 500万元（公务用车及运行维护费安排500万元，公务用车购置费安排0万元），因公出国（境）费用安排0万元。较上年减少40万元，压减5.26%。</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r>
        <w:rPr>
          <w:rFonts w:hint="eastAsia"/>
          <w:sz w:val="32"/>
          <w:szCs w:val="40"/>
          <w:lang w:val="en-US" w:eastAsia="zh-CN"/>
        </w:rPr>
        <w:t>三、“三公经费”口径说明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Hans"/>
        </w:rPr>
      </w:pPr>
      <w:r>
        <w:rPr>
          <w:rFonts w:hint="eastAsia"/>
          <w:sz w:val="32"/>
          <w:szCs w:val="40"/>
          <w:lang w:val="en-US" w:eastAsia="zh-CN"/>
        </w:rPr>
        <w:t>（一）</w:t>
      </w:r>
      <w:r>
        <w:rPr>
          <w:rFonts w:hint="eastAsia"/>
          <w:sz w:val="32"/>
          <w:szCs w:val="40"/>
          <w:lang w:val="en-US" w:eastAsia="zh-Hans"/>
        </w:rPr>
        <w:t>因公出国（境）费用：反</w:t>
      </w:r>
      <w:r>
        <w:rPr>
          <w:rFonts w:hint="eastAsia"/>
          <w:sz w:val="32"/>
          <w:szCs w:val="40"/>
          <w:lang w:val="en-US" w:eastAsia="zh-CN"/>
        </w:rPr>
        <w:t>映县本级行政事业单位工作人员公务出国</w:t>
      </w:r>
      <w:r>
        <w:rPr>
          <w:rFonts w:hint="eastAsia"/>
          <w:sz w:val="32"/>
          <w:szCs w:val="40"/>
          <w:lang w:val="en-US" w:eastAsia="zh-Hans"/>
        </w:rPr>
        <w:t>（境）</w:t>
      </w:r>
      <w:r>
        <w:rPr>
          <w:rFonts w:hint="eastAsia"/>
          <w:sz w:val="32"/>
          <w:szCs w:val="40"/>
          <w:lang w:val="en-US" w:eastAsia="zh-CN"/>
        </w:rPr>
        <w:t>的住宿费、差旅费、伙食补助费、杂费、培训费等支出。</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eastAsia="宋体"/>
          <w:sz w:val="32"/>
          <w:szCs w:val="40"/>
          <w:lang w:val="en-US" w:eastAsia="zh-CN"/>
        </w:rPr>
      </w:pPr>
      <w:r>
        <w:rPr>
          <w:rFonts w:hint="eastAsia"/>
          <w:sz w:val="32"/>
          <w:szCs w:val="40"/>
          <w:lang w:val="en-US" w:eastAsia="zh-CN"/>
        </w:rPr>
        <w:t>（二）</w:t>
      </w:r>
      <w:r>
        <w:rPr>
          <w:rFonts w:hint="eastAsia"/>
          <w:sz w:val="32"/>
          <w:szCs w:val="40"/>
          <w:lang w:val="en-US" w:eastAsia="zh-Hans"/>
        </w:rPr>
        <w:t>公务接待费：反</w:t>
      </w:r>
      <w:r>
        <w:rPr>
          <w:rFonts w:hint="eastAsia"/>
          <w:sz w:val="32"/>
          <w:szCs w:val="40"/>
          <w:lang w:val="en-US" w:eastAsia="zh-CN"/>
        </w:rPr>
        <w:t>映县本级行政事业单位按规定开支的各类公务接待费用</w:t>
      </w:r>
      <w:r>
        <w:rPr>
          <w:rFonts w:hint="eastAsia"/>
          <w:sz w:val="32"/>
          <w:szCs w:val="40"/>
          <w:lang w:val="en-US" w:eastAsia="zh-Hans"/>
        </w:rPr>
        <w:t>。</w:t>
      </w:r>
      <w:r>
        <w:rPr>
          <w:rFonts w:hint="eastAsia"/>
          <w:sz w:val="32"/>
          <w:szCs w:val="40"/>
          <w:lang w:val="en-US" w:eastAsia="zh-CN"/>
        </w:rPr>
        <w:t>包括国际访问、大型活动及外省市交流接待等。</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eastAsia="宋体"/>
          <w:sz w:val="32"/>
          <w:szCs w:val="40"/>
          <w:lang w:val="en-US" w:eastAsia="zh-CN"/>
        </w:rPr>
      </w:pPr>
      <w:r>
        <w:rPr>
          <w:rFonts w:hint="eastAsia"/>
          <w:sz w:val="32"/>
          <w:szCs w:val="40"/>
          <w:lang w:val="en-US" w:eastAsia="zh-CN"/>
        </w:rPr>
        <w:t>（三）</w:t>
      </w:r>
      <w:r>
        <w:rPr>
          <w:rFonts w:hint="eastAsia"/>
          <w:sz w:val="32"/>
          <w:szCs w:val="40"/>
          <w:lang w:val="en-US" w:eastAsia="zh-Hans"/>
        </w:rPr>
        <w:t>公务用车购置：反</w:t>
      </w:r>
      <w:r>
        <w:rPr>
          <w:rFonts w:hint="eastAsia"/>
          <w:sz w:val="32"/>
          <w:szCs w:val="40"/>
          <w:lang w:val="en-US" w:eastAsia="zh-CN"/>
        </w:rPr>
        <w:t>映县本级行政事业单位公务用车车辆购置支出（含车辆购置税）</w:t>
      </w:r>
      <w:r>
        <w:rPr>
          <w:rFonts w:hint="eastAsia"/>
          <w:sz w:val="32"/>
          <w:szCs w:val="40"/>
          <w:lang w:val="en-US" w:eastAsia="zh-Hans"/>
        </w:rPr>
        <w:t>。</w:t>
      </w:r>
      <w:r>
        <w:rPr>
          <w:rFonts w:hint="eastAsia"/>
          <w:sz w:val="32"/>
          <w:szCs w:val="40"/>
          <w:lang w:val="en-US" w:eastAsia="zh-CN"/>
        </w:rPr>
        <w:t>包括执法执勤用车、特种专业技术用车和一般公务用车车辆购置。</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r>
        <w:rPr>
          <w:rFonts w:hint="eastAsia"/>
          <w:sz w:val="32"/>
          <w:szCs w:val="40"/>
          <w:lang w:val="en-US" w:eastAsia="zh-CN"/>
        </w:rPr>
        <w:t>（四）</w:t>
      </w:r>
      <w:r>
        <w:rPr>
          <w:rFonts w:hint="eastAsia"/>
          <w:sz w:val="32"/>
          <w:szCs w:val="40"/>
          <w:lang w:val="en-US" w:eastAsia="zh-Hans"/>
        </w:rPr>
        <w:t>公务用车运行维护费：反映</w:t>
      </w:r>
      <w:r>
        <w:rPr>
          <w:rFonts w:hint="eastAsia"/>
          <w:sz w:val="32"/>
          <w:szCs w:val="40"/>
          <w:lang w:val="en-US" w:eastAsia="zh-CN"/>
        </w:rPr>
        <w:t>县本级行政事业单位公务用车日常使用过程中发生的公务用车租用费、燃料费、维修费、保险费、安全奖励费用等支出。</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r>
        <w:rPr>
          <w:rFonts w:hint="eastAsia"/>
          <w:sz w:val="32"/>
          <w:szCs w:val="40"/>
          <w:lang w:val="en-US" w:eastAsia="zh-CN"/>
        </w:rPr>
        <w:t>四、名词解释</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r>
        <w:rPr>
          <w:rFonts w:hint="eastAsia"/>
          <w:sz w:val="32"/>
          <w:szCs w:val="40"/>
          <w:lang w:val="en-US" w:eastAsia="zh-CN"/>
        </w:rPr>
        <w:t>一般公务用车：指为满足正常工作需要，符合车辆配备标准配备的，用于各类公务活动的激动车辆。</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r>
        <w:rPr>
          <w:rFonts w:hint="eastAsia"/>
          <w:sz w:val="32"/>
          <w:szCs w:val="40"/>
          <w:lang w:val="en-US" w:eastAsia="zh-CN"/>
        </w:rPr>
        <w:t>执法执勤用车：指用于办案、监察、稽查、税务征管等执法执勤公务的专用机动车辆。</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r>
        <w:rPr>
          <w:rFonts w:hint="eastAsia"/>
          <w:sz w:val="32"/>
          <w:szCs w:val="40"/>
          <w:lang w:val="en-US" w:eastAsia="zh-CN"/>
        </w:rPr>
        <w:t>其他车辆：指一般公务用车和执法执勤用车以外的，具有专门用途的车辆，如警车、消防车、救护车、大中型客车、载货车辆等。</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sz w:val="32"/>
          <w:szCs w:val="40"/>
          <w:lang w:val="en-US" w:eastAsia="zh-CN"/>
        </w:rPr>
      </w:pPr>
      <w:r>
        <w:rPr>
          <w:rFonts w:hint="eastAsia"/>
          <w:sz w:val="32"/>
          <w:szCs w:val="40"/>
          <w:lang w:val="en-US" w:eastAsia="zh-CN"/>
        </w:rPr>
        <w:t>（此件公开发布）</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442" w:firstLineChars="100"/>
        <w:jc w:val="left"/>
        <w:textAlignment w:val="auto"/>
        <w:outlineLvl w:val="9"/>
        <w:rPr>
          <w:rFonts w:hint="eastAsia" w:ascii="宋体" w:hAnsi="宋体" w:cs="宋体"/>
          <w:b/>
          <w:bCs/>
          <w:sz w:val="44"/>
          <w:szCs w:val="5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442" w:firstLineChars="100"/>
        <w:jc w:val="center"/>
        <w:textAlignment w:val="auto"/>
        <w:outlineLvl w:val="9"/>
        <w:rPr>
          <w:rFonts w:hint="eastAsia" w:ascii="宋体" w:hAnsi="宋体" w:eastAsia="宋体" w:cs="宋体"/>
          <w:b w:val="0"/>
          <w:bCs w:val="0"/>
          <w:sz w:val="36"/>
          <w:szCs w:val="44"/>
          <w:lang w:val="en-US" w:eastAsia="zh-CN"/>
        </w:rPr>
      </w:pPr>
      <w:r>
        <w:rPr>
          <w:rFonts w:hint="eastAsia" w:ascii="宋体" w:hAnsi="宋体" w:cs="宋体"/>
          <w:b/>
          <w:bCs/>
          <w:sz w:val="44"/>
          <w:szCs w:val="52"/>
          <w:lang w:val="en-US" w:eastAsia="zh-CN"/>
        </w:rPr>
        <w:t xml:space="preserve">           </w:t>
      </w:r>
      <w:bookmarkStart w:id="0" w:name="_GoBack"/>
      <w:bookmarkEnd w:id="0"/>
      <w:r>
        <w:rPr>
          <w:rFonts w:hint="eastAsia" w:ascii="宋体" w:hAnsi="宋体" w:cs="宋体"/>
          <w:b/>
          <w:bCs/>
          <w:sz w:val="44"/>
          <w:szCs w:val="52"/>
          <w:lang w:val="en-US" w:eastAsia="zh-CN"/>
        </w:rPr>
        <w:t xml:space="preserve"> </w:t>
      </w:r>
      <w:r>
        <w:rPr>
          <w:rFonts w:hint="eastAsia" w:ascii="宋体" w:hAnsi="宋体" w:cs="宋体"/>
          <w:b w:val="0"/>
          <w:bCs w:val="0"/>
          <w:sz w:val="36"/>
          <w:szCs w:val="44"/>
          <w:lang w:val="en-US" w:eastAsia="zh-CN"/>
        </w:rPr>
        <w:t xml:space="preserve">  2022年1月20日</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360" w:firstLineChars="100"/>
        <w:jc w:val="center"/>
        <w:textAlignment w:val="auto"/>
        <w:outlineLvl w:val="9"/>
        <w:rPr>
          <w:rFonts w:hint="eastAsia" w:ascii="宋体" w:hAnsi="宋体" w:eastAsia="宋体" w:cs="宋体"/>
          <w:b w:val="0"/>
          <w:bCs w:val="0"/>
          <w:sz w:val="36"/>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E7DB3"/>
    <w:rsid w:val="052E7DB3"/>
    <w:rsid w:val="0634521F"/>
    <w:rsid w:val="0D970544"/>
    <w:rsid w:val="31A40780"/>
    <w:rsid w:val="39566031"/>
    <w:rsid w:val="46885100"/>
    <w:rsid w:val="4D5E1D4E"/>
    <w:rsid w:val="4DF341C9"/>
    <w:rsid w:val="528925D0"/>
    <w:rsid w:val="6DC3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czj</Company>
  <Pages>1</Pages>
  <Words>0</Words>
  <Characters>0</Characters>
  <Lines>0</Lines>
  <Paragraphs>0</Paragraphs>
  <TotalTime>11</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2022-02-14T03:20:00Z</dcterms:created>
  <dc:creator>ysk</dc:creator>
  <cp:lastModifiedBy>ysk</cp:lastModifiedBy>
  <dcterms:modified xsi:type="dcterms:W3CDTF">2022-02-19T09:28:34Z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